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1B45" w14:textId="0A66D2DD" w:rsidR="00AA1CCD" w:rsidRPr="00AA1CCD" w:rsidRDefault="00EF1CF3" w:rsidP="00AA1C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550E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ppel à </w:t>
      </w:r>
      <w:r w:rsidR="00AA1CCD" w:rsidRPr="00AA1CCD">
        <w:rPr>
          <w:rFonts w:ascii="Times New Roman" w:hAnsi="Times New Roman" w:cs="Times New Roman"/>
          <w:b/>
          <w:bCs/>
          <w:sz w:val="28"/>
          <w:szCs w:val="28"/>
          <w:u w:val="single"/>
        </w:rPr>
        <w:t>communication :</w:t>
      </w:r>
    </w:p>
    <w:p w14:paraId="2AE218C5" w14:textId="77777777" w:rsidR="00AA1CCD" w:rsidRDefault="00AA1CCD" w:rsidP="002D1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54AC1" w14:textId="3E39841E" w:rsidR="003F7E6F" w:rsidRDefault="00C223C6" w:rsidP="002D1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2E6C60">
        <w:rPr>
          <w:rFonts w:ascii="Times New Roman" w:hAnsi="Times New Roman" w:cs="Times New Roman"/>
          <w:b/>
          <w:bCs/>
          <w:sz w:val="28"/>
          <w:szCs w:val="28"/>
        </w:rPr>
        <w:t>Qui a façonné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C60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es transitions énergétiques</w:t>
      </w:r>
      <w:r w:rsidR="002E6C60">
        <w:rPr>
          <w:rFonts w:ascii="Times New Roman" w:hAnsi="Times New Roman" w:cs="Times New Roman"/>
          <w:b/>
          <w:bCs/>
          <w:sz w:val="28"/>
          <w:szCs w:val="28"/>
        </w:rPr>
        <w:t> 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C60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onsommateurs/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trices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entreprises, </w:t>
      </w:r>
      <w:r w:rsidR="002E6C60">
        <w:rPr>
          <w:rFonts w:ascii="Times New Roman" w:hAnsi="Times New Roman" w:cs="Times New Roman"/>
          <w:b/>
          <w:bCs/>
          <w:sz w:val="28"/>
          <w:szCs w:val="28"/>
        </w:rPr>
        <w:t>acteurs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publics et sociaux (XVIII</w:t>
      </w:r>
      <w:r w:rsidRPr="00C223C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-XXI</w:t>
      </w:r>
      <w:r w:rsidRPr="00C223C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siècle) »</w:t>
      </w:r>
    </w:p>
    <w:p w14:paraId="20813ABD" w14:textId="2B550E3F" w:rsidR="4E4ECEB3" w:rsidRDefault="4E4ECEB3" w:rsidP="4E4ECEB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3EEE539" w14:textId="75FC445E" w:rsidR="002D1DA0" w:rsidRPr="00403035" w:rsidRDefault="008D3241" w:rsidP="002D1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2D1DA0" w:rsidRPr="0040303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2D1DA0" w:rsidRPr="00403035">
        <w:rPr>
          <w:rFonts w:ascii="Times New Roman" w:hAnsi="Times New Roman" w:cs="Times New Roman"/>
          <w:b/>
          <w:bCs/>
          <w:sz w:val="28"/>
          <w:szCs w:val="28"/>
        </w:rPr>
        <w:t xml:space="preserve"> juin 2024 à Paris</w:t>
      </w:r>
      <w:r w:rsidR="00EE2141" w:rsidRPr="0040303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D1DA0" w:rsidRPr="00403035">
        <w:rPr>
          <w:rFonts w:ascii="Times New Roman" w:hAnsi="Times New Roman" w:cs="Times New Roman"/>
          <w:b/>
          <w:bCs/>
          <w:sz w:val="28"/>
          <w:szCs w:val="28"/>
        </w:rPr>
        <w:t>La Défense</w:t>
      </w:r>
    </w:p>
    <w:p w14:paraId="6C4C0FCB" w14:textId="3D06D0B6" w:rsidR="002D1DA0" w:rsidRPr="00403035" w:rsidRDefault="002D1DA0" w:rsidP="002D1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1BA99" w14:textId="3EF76CD5" w:rsidR="002D1DA0" w:rsidRPr="00403035" w:rsidRDefault="000865A0" w:rsidP="6B0818E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6B0818EF">
        <w:rPr>
          <w:rFonts w:ascii="Times New Roman" w:hAnsi="Times New Roman" w:cs="Times New Roman"/>
          <w:i/>
          <w:iCs/>
        </w:rPr>
        <w:t>C</w:t>
      </w:r>
      <w:r w:rsidR="002D1DA0" w:rsidRPr="6B0818EF">
        <w:rPr>
          <w:rFonts w:ascii="Times New Roman" w:hAnsi="Times New Roman" w:cs="Times New Roman"/>
          <w:i/>
          <w:iCs/>
        </w:rPr>
        <w:t>olloque historique international organisé</w:t>
      </w:r>
      <w:r w:rsidR="00718DBE" w:rsidRPr="6B0818EF">
        <w:rPr>
          <w:rFonts w:ascii="Times New Roman" w:eastAsia="Times New Roman" w:hAnsi="Times New Roman" w:cs="Times New Roman"/>
          <w:i/>
          <w:iCs/>
        </w:rPr>
        <w:t xml:space="preserve"> à l’initiative du service des archives historiques de</w:t>
      </w:r>
      <w:r w:rsidR="002D1DA0" w:rsidRPr="6B0818EF">
        <w:rPr>
          <w:rFonts w:ascii="Times New Roman" w:hAnsi="Times New Roman" w:cs="Times New Roman"/>
          <w:i/>
          <w:iCs/>
        </w:rPr>
        <w:t xml:space="preserve"> TotalEnergies</w:t>
      </w:r>
      <w:r w:rsidR="00EE2141" w:rsidRPr="6B0818EF">
        <w:rPr>
          <w:rFonts w:ascii="Times New Roman" w:hAnsi="Times New Roman" w:cs="Times New Roman"/>
          <w:i/>
          <w:iCs/>
        </w:rPr>
        <w:t>, en collaboration avec des chercheurs universitaires</w:t>
      </w:r>
      <w:r w:rsidR="00AA1CCD" w:rsidRPr="6B0818EF">
        <w:rPr>
          <w:rFonts w:ascii="Times New Roman" w:hAnsi="Times New Roman" w:cs="Times New Roman"/>
          <w:i/>
          <w:iCs/>
        </w:rPr>
        <w:t xml:space="preserve"> en histoire</w:t>
      </w:r>
      <w:r w:rsidR="00EE2141" w:rsidRPr="6B0818EF">
        <w:rPr>
          <w:rFonts w:ascii="Times New Roman" w:hAnsi="Times New Roman" w:cs="Times New Roman"/>
          <w:i/>
          <w:iCs/>
        </w:rPr>
        <w:t>.</w:t>
      </w:r>
    </w:p>
    <w:p w14:paraId="245C164D" w14:textId="7BD0560B" w:rsidR="002D1DA0" w:rsidRPr="00403035" w:rsidRDefault="002D1DA0" w:rsidP="00036342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0E7D12A" w14:textId="3241F883" w:rsidR="00B356D4" w:rsidRDefault="15ADE773" w:rsidP="6B0818EF">
      <w:pPr>
        <w:spacing w:line="276" w:lineRule="auto"/>
        <w:jc w:val="both"/>
        <w:rPr>
          <w:rFonts w:ascii="Times New Roman" w:hAnsi="Times New Roman" w:cs="Times New Roman"/>
        </w:rPr>
      </w:pPr>
      <w:r w:rsidRPr="1BB97A05">
        <w:rPr>
          <w:rFonts w:ascii="Times New Roman" w:hAnsi="Times New Roman" w:cs="Times New Roman"/>
        </w:rPr>
        <w:t>Cette manifestation scientifique</w:t>
      </w:r>
      <w:r w:rsidR="5A4B3F1B" w:rsidRPr="1BB97A05">
        <w:rPr>
          <w:rFonts w:ascii="Times New Roman" w:hAnsi="Times New Roman" w:cs="Times New Roman"/>
        </w:rPr>
        <w:t xml:space="preserve"> </w:t>
      </w:r>
      <w:r w:rsidR="5A4B3F1B" w:rsidRPr="1BB97A05">
        <w:rPr>
          <w:rFonts w:ascii="Times New Roman" w:eastAsia="Times New Roman" w:hAnsi="Times New Roman" w:cs="Times New Roman"/>
        </w:rPr>
        <w:t>s’inscrit dans la lignée des colloques consacrés à l’histoire du pétrole tenus dans la décennie 2010, colloques qui ont permis de valoriser les archives pétrolières et gazières et de produire des savoirs académiques reconnus</w:t>
      </w:r>
      <w:r w:rsidR="5A4B3F1B" w:rsidRPr="1BB97A05">
        <w:rPr>
          <w:rFonts w:ascii="Times New Roman" w:hAnsi="Times New Roman" w:cs="Times New Roman"/>
        </w:rPr>
        <w:t xml:space="preserve">. Ce colloque </w:t>
      </w:r>
      <w:r w:rsidR="6ED95751" w:rsidRPr="1BB97A05">
        <w:rPr>
          <w:rFonts w:ascii="Times New Roman" w:hAnsi="Times New Roman" w:cs="Times New Roman"/>
        </w:rPr>
        <w:t xml:space="preserve">est l’occasion de </w:t>
      </w:r>
      <w:r w:rsidR="07D2738A" w:rsidRPr="1BB97A05">
        <w:rPr>
          <w:rFonts w:ascii="Times New Roman" w:hAnsi="Times New Roman" w:cs="Times New Roman"/>
        </w:rPr>
        <w:t xml:space="preserve">relancer les </w:t>
      </w:r>
      <w:r w:rsidR="6ED95751" w:rsidRPr="1BB97A05">
        <w:rPr>
          <w:rFonts w:ascii="Times New Roman" w:hAnsi="Times New Roman" w:cs="Times New Roman"/>
        </w:rPr>
        <w:t>rencontres entre le monde de l’entreprise et la recherche universitaire</w:t>
      </w:r>
      <w:r w:rsidR="1D05F060" w:rsidRPr="1BB97A05">
        <w:rPr>
          <w:rFonts w:ascii="Times New Roman" w:hAnsi="Times New Roman" w:cs="Times New Roman"/>
        </w:rPr>
        <w:t xml:space="preserve"> en histoire</w:t>
      </w:r>
      <w:r w:rsidR="6ED95751" w:rsidRPr="1BB97A05">
        <w:rPr>
          <w:rFonts w:ascii="Times New Roman" w:hAnsi="Times New Roman" w:cs="Times New Roman"/>
        </w:rPr>
        <w:t>.</w:t>
      </w:r>
      <w:r w:rsidR="3BB99642" w:rsidRPr="1BB97A05">
        <w:rPr>
          <w:rFonts w:ascii="Times New Roman" w:hAnsi="Times New Roman" w:cs="Times New Roman"/>
        </w:rPr>
        <w:t xml:space="preserve"> </w:t>
      </w:r>
      <w:r w:rsidR="0242BE78" w:rsidRPr="1BB97A05">
        <w:rPr>
          <w:rFonts w:ascii="Times New Roman" w:hAnsi="Times New Roman" w:cs="Times New Roman"/>
        </w:rPr>
        <w:t>Il</w:t>
      </w:r>
      <w:r w:rsidR="3BB99642" w:rsidRPr="1BB97A05">
        <w:rPr>
          <w:rFonts w:ascii="Times New Roman" w:hAnsi="Times New Roman" w:cs="Times New Roman"/>
        </w:rPr>
        <w:t xml:space="preserve"> vise</w:t>
      </w:r>
      <w:r w:rsidR="2ACB2A90" w:rsidRPr="1BB97A05">
        <w:rPr>
          <w:rFonts w:ascii="Times New Roman" w:hAnsi="Times New Roman" w:cs="Times New Roman"/>
        </w:rPr>
        <w:t xml:space="preserve"> d’une part</w:t>
      </w:r>
      <w:r w:rsidR="3BB99642" w:rsidRPr="1BB97A05">
        <w:rPr>
          <w:rFonts w:ascii="Times New Roman" w:hAnsi="Times New Roman" w:cs="Times New Roman"/>
        </w:rPr>
        <w:t xml:space="preserve"> à </w:t>
      </w:r>
      <w:r w:rsidR="7F7EA20F" w:rsidRPr="1BB97A05">
        <w:rPr>
          <w:rFonts w:ascii="Times New Roman" w:hAnsi="Times New Roman" w:cs="Times New Roman"/>
        </w:rPr>
        <w:t>faire le point sur l’histoire des transitions énergétiques</w:t>
      </w:r>
      <w:r w:rsidR="2ACB2A90" w:rsidRPr="1BB97A05">
        <w:rPr>
          <w:rFonts w:ascii="Times New Roman" w:hAnsi="Times New Roman" w:cs="Times New Roman"/>
        </w:rPr>
        <w:t xml:space="preserve"> dans ce qui a déjà été réalisé, par le passé, entre le service des archives et le monde académique. </w:t>
      </w:r>
      <w:r w:rsidR="7F7EA20F" w:rsidRPr="1BB97A05">
        <w:rPr>
          <w:rFonts w:ascii="Times New Roman" w:hAnsi="Times New Roman" w:cs="Times New Roman"/>
        </w:rPr>
        <w:t>En effet, depuis une dizaine d’années, de nombreuses ini</w:t>
      </w:r>
      <w:r w:rsidR="6B34F962" w:rsidRPr="1BB97A05">
        <w:rPr>
          <w:rFonts w:ascii="Times New Roman" w:hAnsi="Times New Roman" w:cs="Times New Roman"/>
        </w:rPr>
        <w:t>t</w:t>
      </w:r>
      <w:r w:rsidR="7F7EA20F" w:rsidRPr="1BB97A05">
        <w:rPr>
          <w:rFonts w:ascii="Times New Roman" w:hAnsi="Times New Roman" w:cs="Times New Roman"/>
        </w:rPr>
        <w:t>iatives dans la communauté académique francophone et européenne ont permis d’éclairer largement l’histoire des transitions énergétiques</w:t>
      </w:r>
      <w:r w:rsidR="6B34F962" w:rsidRPr="1BB97A05">
        <w:rPr>
          <w:rFonts w:ascii="Times New Roman" w:hAnsi="Times New Roman" w:cs="Times New Roman"/>
        </w:rPr>
        <w:t xml:space="preserve"> avec une approche systémique</w:t>
      </w:r>
      <w:r w:rsidR="6185D637" w:rsidRPr="1BB97A05">
        <w:rPr>
          <w:rFonts w:ascii="Times New Roman" w:hAnsi="Times New Roman" w:cs="Times New Roman"/>
        </w:rPr>
        <w:t xml:space="preserve"> faisant appel à des phénomènes complexes, et des processus longs </w:t>
      </w:r>
      <w:r w:rsidR="7F7EA20F" w:rsidRPr="1BB97A05">
        <w:rPr>
          <w:rFonts w:ascii="Times New Roman" w:hAnsi="Times New Roman" w:cs="Times New Roman"/>
        </w:rPr>
        <w:t xml:space="preserve">et </w:t>
      </w:r>
      <w:r w:rsidR="15293C5C" w:rsidRPr="1BB97A05">
        <w:rPr>
          <w:rFonts w:ascii="Times New Roman" w:hAnsi="Times New Roman" w:cs="Times New Roman"/>
        </w:rPr>
        <w:t>dans leur globalité multi-énergie</w:t>
      </w:r>
      <w:r w:rsidR="1844E43E" w:rsidRPr="1BB97A05">
        <w:rPr>
          <w:rFonts w:ascii="Times New Roman" w:hAnsi="Times New Roman" w:cs="Times New Roman"/>
        </w:rPr>
        <w:t xml:space="preserve"> </w:t>
      </w:r>
      <w:r w:rsidR="1844E43E" w:rsidRPr="1BB97A05">
        <w:rPr>
          <w:rFonts w:ascii="Times New Roman" w:eastAsia="Times New Roman" w:hAnsi="Times New Roman" w:cs="Times New Roman"/>
        </w:rPr>
        <w:t>(</w:t>
      </w:r>
      <w:proofErr w:type="spellStart"/>
      <w:r w:rsidR="1844E43E" w:rsidRPr="1BB97A05">
        <w:rPr>
          <w:rFonts w:ascii="Times New Roman" w:eastAsia="Times New Roman" w:hAnsi="Times New Roman" w:cs="Times New Roman"/>
        </w:rPr>
        <w:t>Lamard</w:t>
      </w:r>
      <w:proofErr w:type="spellEnd"/>
      <w:r w:rsidR="1844E43E" w:rsidRPr="1BB97A05">
        <w:rPr>
          <w:rFonts w:ascii="Times New Roman" w:eastAsia="Times New Roman" w:hAnsi="Times New Roman" w:cs="Times New Roman"/>
        </w:rPr>
        <w:t xml:space="preserve">, </w:t>
      </w:r>
      <w:proofErr w:type="spellStart"/>
      <w:r w:rsidR="1844E43E" w:rsidRPr="1BB97A05">
        <w:rPr>
          <w:rFonts w:ascii="Times New Roman" w:eastAsia="Times New Roman" w:hAnsi="Times New Roman" w:cs="Times New Roman"/>
        </w:rPr>
        <w:t>Stoskopf</w:t>
      </w:r>
      <w:proofErr w:type="spellEnd"/>
      <w:r w:rsidR="1844E43E" w:rsidRPr="1BB97A05">
        <w:rPr>
          <w:rFonts w:ascii="Times New Roman" w:eastAsia="Times New Roman" w:hAnsi="Times New Roman" w:cs="Times New Roman"/>
        </w:rPr>
        <w:t xml:space="preserve"> 2018 ; </w:t>
      </w:r>
      <w:proofErr w:type="spellStart"/>
      <w:r w:rsidR="1844E43E" w:rsidRPr="1BB97A05">
        <w:rPr>
          <w:rFonts w:ascii="Times New Roman" w:eastAsia="Times New Roman" w:hAnsi="Times New Roman" w:cs="Times New Roman"/>
        </w:rPr>
        <w:t>Massard</w:t>
      </w:r>
      <w:proofErr w:type="spellEnd"/>
      <w:r w:rsidR="1844E43E" w:rsidRPr="1BB97A05">
        <w:rPr>
          <w:rFonts w:ascii="Times New Roman" w:eastAsia="Times New Roman" w:hAnsi="Times New Roman" w:cs="Times New Roman"/>
        </w:rPr>
        <w:t xml:space="preserve">-Guilbaud, Mathis 2019 ; Gross, </w:t>
      </w:r>
      <w:proofErr w:type="spellStart"/>
      <w:r w:rsidR="1844E43E" w:rsidRPr="1BB97A05">
        <w:rPr>
          <w:rFonts w:ascii="Times New Roman" w:eastAsia="Times New Roman" w:hAnsi="Times New Roman" w:cs="Times New Roman"/>
        </w:rPr>
        <w:t>Needham</w:t>
      </w:r>
      <w:proofErr w:type="spellEnd"/>
      <w:r w:rsidR="1844E43E" w:rsidRPr="1BB97A05">
        <w:rPr>
          <w:rFonts w:ascii="Times New Roman" w:eastAsia="Times New Roman" w:hAnsi="Times New Roman" w:cs="Times New Roman"/>
        </w:rPr>
        <w:t xml:space="preserve"> 2023)</w:t>
      </w:r>
      <w:r w:rsidR="015B65F8" w:rsidRPr="1BB97A05">
        <w:rPr>
          <w:rFonts w:ascii="Times New Roman" w:eastAsia="Times New Roman" w:hAnsi="Times New Roman" w:cs="Times New Roman"/>
        </w:rPr>
        <w:t xml:space="preserve">. </w:t>
      </w:r>
      <w:r w:rsidR="1DE5F968" w:rsidRPr="1BB97A05">
        <w:rPr>
          <w:rFonts w:ascii="Times New Roman" w:hAnsi="Times New Roman" w:cs="Times New Roman"/>
        </w:rPr>
        <w:t>D</w:t>
      </w:r>
      <w:r w:rsidR="6E75BB67" w:rsidRPr="1BB97A05">
        <w:rPr>
          <w:rFonts w:ascii="Times New Roman" w:hAnsi="Times New Roman" w:cs="Times New Roman"/>
        </w:rPr>
        <w:t>es synthèses sur cette histoire qui s’est lentement dessinée</w:t>
      </w:r>
      <w:r w:rsidR="780E1A9F" w:rsidRPr="1BB97A05">
        <w:rPr>
          <w:rFonts w:ascii="Times New Roman" w:hAnsi="Times New Roman" w:cs="Times New Roman"/>
        </w:rPr>
        <w:t xml:space="preserve"> sont attendues</w:t>
      </w:r>
      <w:r w:rsidR="5DA9AE02" w:rsidRPr="1BB97A05">
        <w:rPr>
          <w:rFonts w:ascii="Times New Roman" w:hAnsi="Times New Roman" w:cs="Times New Roman"/>
        </w:rPr>
        <w:t xml:space="preserve"> pour informer </w:t>
      </w:r>
      <w:r w:rsidR="1B3E0844" w:rsidRPr="1BB97A05">
        <w:rPr>
          <w:rFonts w:ascii="Times New Roman" w:hAnsi="Times New Roman" w:cs="Times New Roman"/>
        </w:rPr>
        <w:t xml:space="preserve">un </w:t>
      </w:r>
      <w:r w:rsidR="5DA9AE02" w:rsidRPr="1BB97A05">
        <w:rPr>
          <w:rFonts w:ascii="Times New Roman" w:hAnsi="Times New Roman" w:cs="Times New Roman"/>
        </w:rPr>
        <w:t>public non académique</w:t>
      </w:r>
      <w:r w:rsidR="6185D637" w:rsidRPr="1BB97A05">
        <w:rPr>
          <w:rFonts w:ascii="Times New Roman" w:hAnsi="Times New Roman" w:cs="Times New Roman"/>
        </w:rPr>
        <w:t xml:space="preserve"> professionnel</w:t>
      </w:r>
      <w:r w:rsidR="1D4C12C7" w:rsidRPr="1BB97A05">
        <w:rPr>
          <w:rFonts w:ascii="Times New Roman" w:hAnsi="Times New Roman" w:cs="Times New Roman"/>
        </w:rPr>
        <w:t>.</w:t>
      </w:r>
      <w:r w:rsidR="1B3E0844" w:rsidRPr="1BB97A05">
        <w:rPr>
          <w:rFonts w:ascii="Times New Roman" w:hAnsi="Times New Roman" w:cs="Times New Roman"/>
        </w:rPr>
        <w:t xml:space="preserve"> </w:t>
      </w:r>
      <w:r w:rsidR="2ACB2A90" w:rsidRPr="1BB97A05">
        <w:rPr>
          <w:rFonts w:ascii="Times New Roman" w:hAnsi="Times New Roman" w:cs="Times New Roman"/>
        </w:rPr>
        <w:t>D’autre part, ce colloque souhaite faire avancer les connaissances sur</w:t>
      </w:r>
      <w:r w:rsidR="7D76A755" w:rsidRPr="1BB97A05">
        <w:rPr>
          <w:rFonts w:ascii="Times New Roman" w:hAnsi="Times New Roman" w:cs="Times New Roman"/>
        </w:rPr>
        <w:t xml:space="preserve"> les causes des mutations entre énergies</w:t>
      </w:r>
      <w:r w:rsidR="2ACB2A90" w:rsidRPr="1BB97A05">
        <w:rPr>
          <w:rFonts w:ascii="Times New Roman" w:hAnsi="Times New Roman" w:cs="Times New Roman"/>
        </w:rPr>
        <w:t xml:space="preserve"> </w:t>
      </w:r>
      <w:r w:rsidR="1B3E0844" w:rsidRPr="1BB97A05">
        <w:rPr>
          <w:rFonts w:ascii="Times New Roman" w:hAnsi="Times New Roman" w:cs="Times New Roman"/>
        </w:rPr>
        <w:t>et apporter des éléments nouveaux à la recherche</w:t>
      </w:r>
      <w:r w:rsidR="6B2DD8A6" w:rsidRPr="1BB97A05">
        <w:rPr>
          <w:rFonts w:ascii="Times New Roman" w:hAnsi="Times New Roman" w:cs="Times New Roman"/>
        </w:rPr>
        <w:t xml:space="preserve"> en e</w:t>
      </w:r>
      <w:r w:rsidR="4631EBF3" w:rsidRPr="1BB97A05">
        <w:rPr>
          <w:rFonts w:ascii="Times New Roman" w:hAnsi="Times New Roman" w:cs="Times New Roman"/>
        </w:rPr>
        <w:t>xplor</w:t>
      </w:r>
      <w:r w:rsidR="6B2DD8A6" w:rsidRPr="1BB97A05">
        <w:rPr>
          <w:rFonts w:ascii="Times New Roman" w:hAnsi="Times New Roman" w:cs="Times New Roman"/>
        </w:rPr>
        <w:t>ant</w:t>
      </w:r>
      <w:r w:rsidR="4450414D" w:rsidRPr="1BB97A05">
        <w:rPr>
          <w:rFonts w:ascii="Times New Roman" w:hAnsi="Times New Roman" w:cs="Times New Roman"/>
        </w:rPr>
        <w:t xml:space="preserve"> </w:t>
      </w:r>
      <w:r w:rsidR="6B34F962" w:rsidRPr="1BB97A05">
        <w:rPr>
          <w:rFonts w:ascii="Times New Roman" w:hAnsi="Times New Roman" w:cs="Times New Roman"/>
        </w:rPr>
        <w:t xml:space="preserve">un </w:t>
      </w:r>
      <w:r w:rsidR="6185D637" w:rsidRPr="1BB97A05">
        <w:rPr>
          <w:rFonts w:ascii="Times New Roman" w:hAnsi="Times New Roman" w:cs="Times New Roman"/>
        </w:rPr>
        <w:t xml:space="preserve">nouvel </w:t>
      </w:r>
      <w:r w:rsidR="6B34F962" w:rsidRPr="1BB97A05">
        <w:rPr>
          <w:rFonts w:ascii="Times New Roman" w:hAnsi="Times New Roman" w:cs="Times New Roman"/>
        </w:rPr>
        <w:t xml:space="preserve">angle </w:t>
      </w:r>
      <w:r w:rsidR="780E1A9F" w:rsidRPr="1BB97A05">
        <w:rPr>
          <w:rFonts w:ascii="Times New Roman" w:hAnsi="Times New Roman" w:cs="Times New Roman"/>
        </w:rPr>
        <w:t>de l’histoire des énergies</w:t>
      </w:r>
      <w:r w:rsidR="6B2DD8A6" w:rsidRPr="1BB97A05">
        <w:rPr>
          <w:rFonts w:ascii="Times New Roman" w:hAnsi="Times New Roman" w:cs="Times New Roman"/>
        </w:rPr>
        <w:t>. C’est pourquoi</w:t>
      </w:r>
      <w:r w:rsidR="780E1A9F" w:rsidRPr="1BB97A05">
        <w:rPr>
          <w:rFonts w:ascii="Times New Roman" w:hAnsi="Times New Roman" w:cs="Times New Roman"/>
        </w:rPr>
        <w:t xml:space="preserve"> </w:t>
      </w:r>
      <w:r w:rsidR="1B3E0844" w:rsidRPr="1BB97A05">
        <w:rPr>
          <w:rFonts w:ascii="Times New Roman" w:hAnsi="Times New Roman" w:cs="Times New Roman"/>
        </w:rPr>
        <w:t>nous avons choisi de</w:t>
      </w:r>
      <w:r w:rsidR="6B34F962" w:rsidRPr="1BB97A05">
        <w:rPr>
          <w:rFonts w:ascii="Times New Roman" w:hAnsi="Times New Roman" w:cs="Times New Roman"/>
        </w:rPr>
        <w:t xml:space="preserve"> </w:t>
      </w:r>
      <w:r w:rsidR="15293C5C" w:rsidRPr="1BB97A05">
        <w:rPr>
          <w:rFonts w:ascii="Times New Roman" w:hAnsi="Times New Roman" w:cs="Times New Roman"/>
        </w:rPr>
        <w:t>questionn</w:t>
      </w:r>
      <w:r w:rsidR="1B3E0844" w:rsidRPr="1BB97A05">
        <w:rPr>
          <w:rFonts w:ascii="Times New Roman" w:hAnsi="Times New Roman" w:cs="Times New Roman"/>
        </w:rPr>
        <w:t>er</w:t>
      </w:r>
      <w:r w:rsidR="15293C5C" w:rsidRPr="1BB97A05">
        <w:rPr>
          <w:rFonts w:ascii="Times New Roman" w:hAnsi="Times New Roman" w:cs="Times New Roman"/>
        </w:rPr>
        <w:t xml:space="preserve"> </w:t>
      </w:r>
      <w:r w:rsidR="6B2DD8A6" w:rsidRPr="1BB97A05">
        <w:rPr>
          <w:rFonts w:ascii="Times New Roman" w:hAnsi="Times New Roman" w:cs="Times New Roman"/>
        </w:rPr>
        <w:t>l’évolution d</w:t>
      </w:r>
      <w:r w:rsidR="15293C5C" w:rsidRPr="1BB97A05">
        <w:rPr>
          <w:rFonts w:ascii="Times New Roman" w:hAnsi="Times New Roman" w:cs="Times New Roman"/>
        </w:rPr>
        <w:t xml:space="preserve">es mix énergétiques dans </w:t>
      </w:r>
      <w:r w:rsidR="6B34F962" w:rsidRPr="1BB97A05">
        <w:rPr>
          <w:rFonts w:ascii="Times New Roman" w:hAnsi="Times New Roman" w:cs="Times New Roman"/>
        </w:rPr>
        <w:t xml:space="preserve">les </w:t>
      </w:r>
      <w:r w:rsidR="5AA9FA5D" w:rsidRPr="1BB97A05">
        <w:rPr>
          <w:rFonts w:ascii="Times New Roman" w:hAnsi="Times New Roman" w:cs="Times New Roman"/>
        </w:rPr>
        <w:t>sociétés</w:t>
      </w:r>
      <w:r w:rsidR="556CC4E5" w:rsidRPr="1BB97A05">
        <w:rPr>
          <w:rFonts w:ascii="Times New Roman" w:hAnsi="Times New Roman" w:cs="Times New Roman"/>
        </w:rPr>
        <w:t xml:space="preserve">, à l’échelle mondiale, </w:t>
      </w:r>
      <w:r w:rsidR="6B34F962" w:rsidRPr="1BB97A05">
        <w:rPr>
          <w:rFonts w:ascii="Times New Roman" w:hAnsi="Times New Roman" w:cs="Times New Roman"/>
        </w:rPr>
        <w:t>d</w:t>
      </w:r>
      <w:r w:rsidR="2ACB2A90" w:rsidRPr="1BB97A05">
        <w:rPr>
          <w:rFonts w:ascii="Times New Roman" w:hAnsi="Times New Roman" w:cs="Times New Roman"/>
        </w:rPr>
        <w:t>e la fin du</w:t>
      </w:r>
      <w:r w:rsidR="6B34F962" w:rsidRPr="1BB97A05">
        <w:rPr>
          <w:rFonts w:ascii="Times New Roman" w:hAnsi="Times New Roman" w:cs="Times New Roman"/>
        </w:rPr>
        <w:t xml:space="preserve"> XVIII</w:t>
      </w:r>
      <w:r w:rsidR="6B34F962" w:rsidRPr="1BB97A05">
        <w:rPr>
          <w:rFonts w:ascii="Times New Roman" w:hAnsi="Times New Roman" w:cs="Times New Roman"/>
          <w:vertAlign w:val="superscript"/>
        </w:rPr>
        <w:t>e</w:t>
      </w:r>
      <w:r w:rsidR="6B34F962" w:rsidRPr="1BB97A05">
        <w:rPr>
          <w:rFonts w:ascii="Times New Roman" w:hAnsi="Times New Roman" w:cs="Times New Roman"/>
        </w:rPr>
        <w:t xml:space="preserve"> siècle au XXI</w:t>
      </w:r>
      <w:r w:rsidR="6B34F962" w:rsidRPr="1BB97A05">
        <w:rPr>
          <w:rFonts w:ascii="Times New Roman" w:hAnsi="Times New Roman" w:cs="Times New Roman"/>
          <w:vertAlign w:val="superscript"/>
        </w:rPr>
        <w:t>e</w:t>
      </w:r>
      <w:r w:rsidR="6B34F962" w:rsidRPr="1BB97A05">
        <w:rPr>
          <w:rFonts w:ascii="Times New Roman" w:hAnsi="Times New Roman" w:cs="Times New Roman"/>
        </w:rPr>
        <w:t xml:space="preserve"> siècle</w:t>
      </w:r>
      <w:r w:rsidR="6185D637" w:rsidRPr="1BB97A05">
        <w:rPr>
          <w:rFonts w:ascii="Times New Roman" w:hAnsi="Times New Roman" w:cs="Times New Roman"/>
        </w:rPr>
        <w:t>. Parmi les interrogations soulevées par ce sujet, la question du pétrole et des hydrocarbures mérite d’être encore appro</w:t>
      </w:r>
      <w:r w:rsidR="106901F5" w:rsidRPr="1BB97A05">
        <w:rPr>
          <w:rFonts w:ascii="Times New Roman" w:hAnsi="Times New Roman" w:cs="Times New Roman"/>
        </w:rPr>
        <w:t>fo</w:t>
      </w:r>
      <w:r w:rsidR="6185D637" w:rsidRPr="1BB97A05">
        <w:rPr>
          <w:rFonts w:ascii="Times New Roman" w:hAnsi="Times New Roman" w:cs="Times New Roman"/>
        </w:rPr>
        <w:t>ndie.</w:t>
      </w:r>
    </w:p>
    <w:p w14:paraId="3C9E67DA" w14:textId="3A0AB927" w:rsidR="000D1426" w:rsidRPr="00A7692A" w:rsidRDefault="1A9E0244" w:rsidP="6B0818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63491F1">
        <w:rPr>
          <w:rFonts w:ascii="Times New Roman" w:hAnsi="Times New Roman" w:cs="Times New Roman"/>
        </w:rPr>
        <w:t>l est important de ne pas considérer comme le seul point d’intérêt</w:t>
      </w:r>
      <w:r>
        <w:rPr>
          <w:rFonts w:ascii="Times New Roman" w:hAnsi="Times New Roman" w:cs="Times New Roman"/>
        </w:rPr>
        <w:t xml:space="preserve"> le rôle de l’énergie dans l’économie même s’il est essentiel</w:t>
      </w:r>
      <w:r w:rsidR="5D7BA074" w:rsidRPr="6AFA7E40">
        <w:rPr>
          <w:rFonts w:ascii="Times New Roman" w:hAnsi="Times New Roman" w:cs="Times New Roman"/>
        </w:rPr>
        <w:t xml:space="preserve">, ni de réduire les transitions à des considérations statistiques </w:t>
      </w:r>
      <w:r w:rsidR="3A576F1A" w:rsidRPr="6AFA7E40">
        <w:rPr>
          <w:rFonts w:ascii="Times New Roman" w:hAnsi="Times New Roman" w:cs="Times New Roman"/>
        </w:rPr>
        <w:t>de grandeurs physiques (</w:t>
      </w:r>
      <w:proofErr w:type="spellStart"/>
      <w:r w:rsidR="3A576F1A" w:rsidRPr="6AFA7E40">
        <w:rPr>
          <w:rFonts w:ascii="Times New Roman" w:hAnsi="Times New Roman" w:cs="Times New Roman"/>
        </w:rPr>
        <w:t>Smil</w:t>
      </w:r>
      <w:proofErr w:type="spellEnd"/>
      <w:r w:rsidR="3A576F1A" w:rsidRPr="6AFA7E40">
        <w:rPr>
          <w:rFonts w:ascii="Times New Roman" w:hAnsi="Times New Roman" w:cs="Times New Roman"/>
        </w:rPr>
        <w:t>, 2017).</w:t>
      </w:r>
      <w:r w:rsidR="00C22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effet, l</w:t>
      </w:r>
      <w:r w:rsidR="36399F25">
        <w:rPr>
          <w:rFonts w:ascii="Times New Roman" w:hAnsi="Times New Roman" w:cs="Times New Roman"/>
        </w:rPr>
        <w:t xml:space="preserve">’élément humain </w:t>
      </w:r>
      <w:r w:rsidR="40406BBA">
        <w:rPr>
          <w:rFonts w:ascii="Times New Roman" w:hAnsi="Times New Roman" w:cs="Times New Roman"/>
        </w:rPr>
        <w:t>doit</w:t>
      </w:r>
      <w:r w:rsidR="063491F1">
        <w:rPr>
          <w:rFonts w:ascii="Times New Roman" w:hAnsi="Times New Roman" w:cs="Times New Roman"/>
        </w:rPr>
        <w:t xml:space="preserve"> être</w:t>
      </w:r>
      <w:r w:rsidR="5FA82465">
        <w:rPr>
          <w:rFonts w:ascii="Times New Roman" w:hAnsi="Times New Roman" w:cs="Times New Roman"/>
        </w:rPr>
        <w:t xml:space="preserve"> </w:t>
      </w:r>
      <w:r w:rsidR="063491F1">
        <w:rPr>
          <w:rFonts w:ascii="Times New Roman" w:hAnsi="Times New Roman" w:cs="Times New Roman"/>
        </w:rPr>
        <w:t xml:space="preserve">mis </w:t>
      </w:r>
      <w:r w:rsidR="36399F25">
        <w:rPr>
          <w:rFonts w:ascii="Times New Roman" w:hAnsi="Times New Roman" w:cs="Times New Roman"/>
        </w:rPr>
        <w:t xml:space="preserve">au cœur de l’analyse en s’intéressant </w:t>
      </w:r>
      <w:r w:rsidR="45219448">
        <w:rPr>
          <w:rFonts w:ascii="Times New Roman" w:hAnsi="Times New Roman" w:cs="Times New Roman"/>
        </w:rPr>
        <w:t xml:space="preserve">plus particulièrement </w:t>
      </w:r>
      <w:r w:rsidR="36399F25">
        <w:rPr>
          <w:rFonts w:ascii="Times New Roman" w:hAnsi="Times New Roman" w:cs="Times New Roman"/>
        </w:rPr>
        <w:t>aux acteurs et actrices de ces transitions</w:t>
      </w:r>
      <w:r w:rsidR="03BE1658" w:rsidRPr="6AFA7E40">
        <w:rPr>
          <w:rFonts w:ascii="Times New Roman" w:eastAsia="Times New Roman" w:hAnsi="Times New Roman" w:cs="Times New Roman"/>
        </w:rPr>
        <w:t>, ou non-transitions,</w:t>
      </w:r>
      <w:r w:rsidR="42D97915">
        <w:rPr>
          <w:rFonts w:ascii="Times New Roman" w:hAnsi="Times New Roman" w:cs="Times New Roman"/>
        </w:rPr>
        <w:t xml:space="preserve"> pour mieux comprendre les raisons de ces changements</w:t>
      </w:r>
      <w:r>
        <w:rPr>
          <w:rFonts w:ascii="Times New Roman" w:hAnsi="Times New Roman" w:cs="Times New Roman"/>
        </w:rPr>
        <w:t xml:space="preserve"> et la manière dont ils se sont construits</w:t>
      </w:r>
      <w:r w:rsidR="4A4DDEC8">
        <w:rPr>
          <w:rFonts w:ascii="Times New Roman" w:hAnsi="Times New Roman" w:cs="Times New Roman"/>
        </w:rPr>
        <w:t xml:space="preserve">. Ainsi cet élément humain se traduit-il </w:t>
      </w:r>
      <w:r w:rsidR="4A4DDEC8" w:rsidRPr="00A7692A">
        <w:rPr>
          <w:rFonts w:ascii="Times New Roman" w:hAnsi="Times New Roman" w:cs="Times New Roman"/>
        </w:rPr>
        <w:t>par les rapports et articulations</w:t>
      </w:r>
      <w:r w:rsidR="4A4DDEC8">
        <w:rPr>
          <w:rFonts w:ascii="Times New Roman" w:hAnsi="Times New Roman" w:cs="Times New Roman"/>
        </w:rPr>
        <w:t xml:space="preserve"> entre </w:t>
      </w:r>
      <w:r w:rsidR="07388A1E">
        <w:rPr>
          <w:rFonts w:ascii="Times New Roman" w:hAnsi="Times New Roman" w:cs="Times New Roman"/>
        </w:rPr>
        <w:t>les acteurs publics et sociaux</w:t>
      </w:r>
      <w:r w:rsidR="4A4DDEC8">
        <w:rPr>
          <w:rFonts w:ascii="Times New Roman" w:hAnsi="Times New Roman" w:cs="Times New Roman"/>
        </w:rPr>
        <w:t>, économique</w:t>
      </w:r>
      <w:r w:rsidR="621EB3B4">
        <w:rPr>
          <w:rFonts w:ascii="Times New Roman" w:hAnsi="Times New Roman" w:cs="Times New Roman"/>
        </w:rPr>
        <w:t>s</w:t>
      </w:r>
      <w:r w:rsidR="4A4DDEC8">
        <w:rPr>
          <w:rFonts w:ascii="Times New Roman" w:hAnsi="Times New Roman" w:cs="Times New Roman"/>
        </w:rPr>
        <w:t>, les réseaux d’influence</w:t>
      </w:r>
      <w:r w:rsidR="07388A1E">
        <w:rPr>
          <w:rFonts w:ascii="Times New Roman" w:hAnsi="Times New Roman" w:cs="Times New Roman"/>
        </w:rPr>
        <w:t xml:space="preserve"> </w:t>
      </w:r>
      <w:r w:rsidR="4A4DDEC8">
        <w:rPr>
          <w:rFonts w:ascii="Times New Roman" w:hAnsi="Times New Roman" w:cs="Times New Roman"/>
        </w:rPr>
        <w:t xml:space="preserve">et les consommateurs. </w:t>
      </w:r>
      <w:r w:rsidR="52018102">
        <w:rPr>
          <w:rFonts w:ascii="Times New Roman" w:hAnsi="Times New Roman" w:cs="Times New Roman"/>
        </w:rPr>
        <w:t xml:space="preserve">Dans ce domaine des transitions énergétiques, des décisions ont été prises et mises en œuvre </w:t>
      </w:r>
      <w:r w:rsidR="4A4DDEC8">
        <w:rPr>
          <w:rFonts w:ascii="Times New Roman" w:hAnsi="Times New Roman" w:cs="Times New Roman"/>
        </w:rPr>
        <w:t xml:space="preserve">dans la perspective des contraintes liées aux changements climatiques, </w:t>
      </w:r>
      <w:r w:rsidR="52018102">
        <w:rPr>
          <w:rFonts w:ascii="Times New Roman" w:hAnsi="Times New Roman" w:cs="Times New Roman"/>
        </w:rPr>
        <w:t>en interaction avec les</w:t>
      </w:r>
      <w:r w:rsidR="4A4DDEC8">
        <w:rPr>
          <w:rFonts w:ascii="Times New Roman" w:hAnsi="Times New Roman" w:cs="Times New Roman"/>
        </w:rPr>
        <w:t xml:space="preserve"> réalités économiques</w:t>
      </w:r>
      <w:r w:rsidR="0BE8646B">
        <w:rPr>
          <w:rFonts w:ascii="Times New Roman" w:hAnsi="Times New Roman" w:cs="Times New Roman"/>
        </w:rPr>
        <w:t xml:space="preserve"> et sociales</w:t>
      </w:r>
      <w:r w:rsidR="4A4DDEC8">
        <w:rPr>
          <w:rFonts w:ascii="Times New Roman" w:hAnsi="Times New Roman" w:cs="Times New Roman"/>
        </w:rPr>
        <w:t xml:space="preserve"> et </w:t>
      </w:r>
      <w:r w:rsidR="7836C930">
        <w:rPr>
          <w:rFonts w:ascii="Times New Roman" w:hAnsi="Times New Roman" w:cs="Times New Roman"/>
        </w:rPr>
        <w:t xml:space="preserve">parfois </w:t>
      </w:r>
      <w:r w:rsidR="52018102">
        <w:rPr>
          <w:rFonts w:ascii="Times New Roman" w:hAnsi="Times New Roman" w:cs="Times New Roman"/>
        </w:rPr>
        <w:t>sous</w:t>
      </w:r>
      <w:r w:rsidR="4A4DDEC8">
        <w:rPr>
          <w:rFonts w:ascii="Times New Roman" w:hAnsi="Times New Roman" w:cs="Times New Roman"/>
        </w:rPr>
        <w:t xml:space="preserve"> l’influence d</w:t>
      </w:r>
      <w:r w:rsidR="52018102">
        <w:rPr>
          <w:rFonts w:ascii="Times New Roman" w:hAnsi="Times New Roman" w:cs="Times New Roman"/>
        </w:rPr>
        <w:t>e</w:t>
      </w:r>
      <w:r w:rsidR="4A4DDEC8">
        <w:rPr>
          <w:rFonts w:ascii="Times New Roman" w:hAnsi="Times New Roman" w:cs="Times New Roman"/>
        </w:rPr>
        <w:t xml:space="preserve"> </w:t>
      </w:r>
      <w:r w:rsidR="52018102">
        <w:rPr>
          <w:rFonts w:ascii="Times New Roman" w:hAnsi="Times New Roman" w:cs="Times New Roman"/>
        </w:rPr>
        <w:t xml:space="preserve">groupes de pression. </w:t>
      </w:r>
      <w:r w:rsidR="008D1CD6" w:rsidRPr="008D1CD6">
        <w:rPr>
          <w:rFonts w:ascii="Times New Roman" w:hAnsi="Times New Roman" w:cs="Times New Roman"/>
          <w:shd w:val="clear" w:color="auto" w:fill="FFFFFF"/>
        </w:rPr>
        <w:t>À</w:t>
      </w:r>
      <w:r w:rsidR="4A4DDEC8" w:rsidRPr="008D1CD6">
        <w:rPr>
          <w:rFonts w:ascii="Times New Roman" w:hAnsi="Times New Roman" w:cs="Times New Roman"/>
        </w:rPr>
        <w:t xml:space="preserve"> </w:t>
      </w:r>
      <w:r w:rsidR="4A4DDEC8">
        <w:rPr>
          <w:rFonts w:ascii="Times New Roman" w:hAnsi="Times New Roman" w:cs="Times New Roman"/>
        </w:rPr>
        <w:t>partir de q</w:t>
      </w:r>
      <w:r>
        <w:rPr>
          <w:rFonts w:ascii="Times New Roman" w:hAnsi="Times New Roman" w:cs="Times New Roman"/>
        </w:rPr>
        <w:t xml:space="preserve">uels objectifs </w:t>
      </w:r>
      <w:r w:rsidR="4A4DDEC8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pour quels effets, qui a décidé, ou non, de ces transitions ? Ainsi q</w:t>
      </w:r>
      <w:r w:rsidR="7B903339" w:rsidRPr="00403035">
        <w:rPr>
          <w:rFonts w:ascii="Times New Roman" w:hAnsi="Times New Roman" w:cs="Times New Roman"/>
          <w:color w:val="000000"/>
          <w:shd w:val="clear" w:color="auto" w:fill="FBFBFC"/>
        </w:rPr>
        <w:t>uatre axes sont proposés pour les communications. Ils sont davantage indicatifs que prescriptifs car ils se recoupent largement. Des propositions transversales seront donc possibles.</w:t>
      </w:r>
    </w:p>
    <w:p w14:paraId="1E282255" w14:textId="77777777" w:rsidR="00D533F2" w:rsidRPr="00403035" w:rsidRDefault="00D533F2" w:rsidP="002D1DA0">
      <w:pPr>
        <w:jc w:val="both"/>
        <w:rPr>
          <w:rFonts w:ascii="Times New Roman" w:hAnsi="Times New Roman" w:cs="Times New Roman"/>
        </w:rPr>
      </w:pPr>
    </w:p>
    <w:p w14:paraId="120589DF" w14:textId="2648B1AF" w:rsidR="002D1DA0" w:rsidRPr="00403035" w:rsidRDefault="002D1DA0" w:rsidP="002D1DA0">
      <w:pPr>
        <w:jc w:val="both"/>
        <w:rPr>
          <w:rFonts w:ascii="Times New Roman" w:hAnsi="Times New Roman" w:cs="Times New Roman"/>
          <w:b/>
          <w:bCs/>
        </w:rPr>
      </w:pPr>
      <w:r w:rsidRPr="6B0818EF">
        <w:rPr>
          <w:rFonts w:ascii="Times New Roman" w:hAnsi="Times New Roman" w:cs="Times New Roman"/>
          <w:b/>
          <w:bCs/>
        </w:rPr>
        <w:t xml:space="preserve">Axe 1 : </w:t>
      </w:r>
      <w:r w:rsidR="00B502A9" w:rsidRPr="6B0818EF">
        <w:rPr>
          <w:rFonts w:ascii="Times New Roman" w:hAnsi="Times New Roman" w:cs="Times New Roman"/>
          <w:b/>
          <w:bCs/>
        </w:rPr>
        <w:t>les</w:t>
      </w:r>
      <w:r w:rsidR="4F7CD3FE" w:rsidRPr="6B0818EF">
        <w:rPr>
          <w:rFonts w:ascii="Times New Roman" w:hAnsi="Times New Roman" w:cs="Times New Roman"/>
          <w:b/>
          <w:bCs/>
        </w:rPr>
        <w:t xml:space="preserve"> acteurs des</w:t>
      </w:r>
      <w:r w:rsidR="00B502A9" w:rsidRPr="6B0818EF">
        <w:rPr>
          <w:rFonts w:ascii="Times New Roman" w:hAnsi="Times New Roman" w:cs="Times New Roman"/>
          <w:b/>
          <w:bCs/>
        </w:rPr>
        <w:t xml:space="preserve"> mix énergétiques</w:t>
      </w:r>
    </w:p>
    <w:p w14:paraId="26D4C08F" w14:textId="4AEBE5A8" w:rsidR="002D1DA0" w:rsidRPr="00403035" w:rsidRDefault="002D1DA0" w:rsidP="002D1DA0">
      <w:pPr>
        <w:jc w:val="both"/>
        <w:rPr>
          <w:rFonts w:ascii="Times New Roman" w:hAnsi="Times New Roman" w:cs="Times New Roman"/>
        </w:rPr>
      </w:pPr>
    </w:p>
    <w:p w14:paraId="1556CC42" w14:textId="4B3ACE87" w:rsidR="008B397B" w:rsidRPr="00C223C6" w:rsidRDefault="15ADE773" w:rsidP="6B0818EF">
      <w:pPr>
        <w:spacing w:line="276" w:lineRule="auto"/>
        <w:jc w:val="both"/>
        <w:rPr>
          <w:rFonts w:ascii="Times New Roman" w:hAnsi="Times New Roman" w:cs="Times New Roman"/>
        </w:rPr>
      </w:pPr>
      <w:r w:rsidRPr="4E4ECEB3">
        <w:rPr>
          <w:rFonts w:ascii="Times New Roman" w:hAnsi="Times New Roman" w:cs="Times New Roman"/>
        </w:rPr>
        <w:lastRenderedPageBreak/>
        <w:t>Notre rencontre propose de réfléchir dans un premier temps à la question des mix</w:t>
      </w:r>
      <w:r w:rsidR="6DE65C85" w:rsidRPr="4E4ECEB3">
        <w:rPr>
          <w:rFonts w:ascii="Times New Roman" w:hAnsi="Times New Roman" w:cs="Times New Roman"/>
        </w:rPr>
        <w:t xml:space="preserve"> </w:t>
      </w:r>
      <w:r w:rsidRPr="4E4ECEB3">
        <w:rPr>
          <w:rFonts w:ascii="Times New Roman" w:hAnsi="Times New Roman" w:cs="Times New Roman"/>
        </w:rPr>
        <w:t>énergétiques</w:t>
      </w:r>
      <w:r w:rsidR="3AE569CC" w:rsidRPr="4E4ECEB3">
        <w:rPr>
          <w:rFonts w:ascii="Times New Roman" w:hAnsi="Times New Roman" w:cs="Times New Roman"/>
        </w:rPr>
        <w:t xml:space="preserve">, à la façon dont ces </w:t>
      </w:r>
      <w:r w:rsidR="6394BA5D" w:rsidRPr="4E4ECEB3">
        <w:rPr>
          <w:rFonts w:ascii="Times New Roman" w:hAnsi="Times New Roman" w:cs="Times New Roman"/>
        </w:rPr>
        <w:t>facteurs d’évolution</w:t>
      </w:r>
      <w:r w:rsidR="3AE569CC" w:rsidRPr="4E4ECEB3">
        <w:rPr>
          <w:rFonts w:ascii="Times New Roman" w:hAnsi="Times New Roman" w:cs="Times New Roman"/>
        </w:rPr>
        <w:t xml:space="preserve"> correspondent à des configurations d’acteurs</w:t>
      </w:r>
      <w:r w:rsidR="5F7EB1C5" w:rsidRPr="4E4ECEB3">
        <w:rPr>
          <w:rFonts w:ascii="Times New Roman" w:hAnsi="Times New Roman" w:cs="Times New Roman"/>
        </w:rPr>
        <w:t>.</w:t>
      </w:r>
      <w:r w:rsidR="6DE65C85" w:rsidRPr="1BB97A05">
        <w:rPr>
          <w:rFonts w:ascii="Times New Roman" w:eastAsia="Times New Roman" w:hAnsi="Times New Roman" w:cs="Times New Roman"/>
        </w:rPr>
        <w:t xml:space="preserve"> </w:t>
      </w:r>
      <w:r w:rsidR="79F56B6F" w:rsidRPr="1BB97A05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À</w:t>
      </w:r>
      <w:r w:rsidR="511F5D9F" w:rsidRPr="1BB97A05">
        <w:rPr>
          <w:rFonts w:ascii="Times New Roman" w:eastAsia="Times New Roman" w:hAnsi="Times New Roman" w:cs="Times New Roman"/>
        </w:rPr>
        <w:t xml:space="preserve"> </w:t>
      </w:r>
      <w:r w:rsidR="511F5D9F" w:rsidRPr="4E4ECEB3">
        <w:rPr>
          <w:rFonts w:ascii="Times New Roman" w:eastAsia="Times New Roman" w:hAnsi="Times New Roman" w:cs="Times New Roman"/>
        </w:rPr>
        <w:t>c</w:t>
      </w:r>
      <w:r w:rsidR="4D6EEAA3" w:rsidRPr="4E4ECEB3">
        <w:rPr>
          <w:rFonts w:ascii="Times New Roman" w:hAnsi="Times New Roman" w:cs="Times New Roman"/>
        </w:rPr>
        <w:t>haque ère énergétique de l’humanité</w:t>
      </w:r>
      <w:r w:rsidR="511F5D9F" w:rsidRPr="4E4ECEB3">
        <w:rPr>
          <w:rFonts w:ascii="Times New Roman" w:hAnsi="Times New Roman" w:cs="Times New Roman"/>
        </w:rPr>
        <w:t xml:space="preserve">, </w:t>
      </w:r>
      <w:r w:rsidR="4450414D" w:rsidRPr="4E4ECEB3">
        <w:rPr>
          <w:rFonts w:ascii="Times New Roman" w:hAnsi="Times New Roman" w:cs="Times New Roman"/>
        </w:rPr>
        <w:t xml:space="preserve">plusieurs énergies </w:t>
      </w:r>
      <w:r w:rsidR="511F5D9F" w:rsidRPr="4E4ECEB3">
        <w:rPr>
          <w:rFonts w:ascii="Times New Roman" w:hAnsi="Times New Roman" w:cs="Times New Roman"/>
        </w:rPr>
        <w:t xml:space="preserve">ont été utilisées </w:t>
      </w:r>
      <w:r w:rsidR="0D70EBC6" w:rsidRPr="4E4ECEB3">
        <w:rPr>
          <w:rFonts w:ascii="Times New Roman" w:hAnsi="Times New Roman" w:cs="Times New Roman"/>
        </w:rPr>
        <w:t xml:space="preserve">avec une </w:t>
      </w:r>
      <w:r w:rsidR="511F5D9F" w:rsidRPr="4E4ECEB3">
        <w:rPr>
          <w:rFonts w:ascii="Times New Roman" w:hAnsi="Times New Roman" w:cs="Times New Roman"/>
        </w:rPr>
        <w:t>dite</w:t>
      </w:r>
      <w:r w:rsidR="49377A95" w:rsidRPr="4E4ECEB3">
        <w:rPr>
          <w:rFonts w:ascii="Times New Roman" w:hAnsi="Times New Roman" w:cs="Times New Roman"/>
        </w:rPr>
        <w:t xml:space="preserve"> dominante</w:t>
      </w:r>
      <w:r w:rsidR="511F5D9F" w:rsidRPr="4E4ECEB3">
        <w:rPr>
          <w:rFonts w:ascii="Times New Roman" w:hAnsi="Times New Roman" w:cs="Times New Roman"/>
        </w:rPr>
        <w:t xml:space="preserve"> dans le mix</w:t>
      </w:r>
      <w:r w:rsidR="5515C98E" w:rsidRPr="4E4ECEB3">
        <w:rPr>
          <w:rFonts w:ascii="Times New Roman" w:hAnsi="Times New Roman" w:cs="Times New Roman"/>
        </w:rPr>
        <w:t xml:space="preserve"> </w:t>
      </w:r>
      <w:r w:rsidR="5515C98E" w:rsidRPr="4E4ECEB3">
        <w:rPr>
          <w:rFonts w:ascii="Times New Roman" w:eastAsia="Times New Roman" w:hAnsi="Times New Roman" w:cs="Times New Roman"/>
        </w:rPr>
        <w:t>(</w:t>
      </w:r>
      <w:proofErr w:type="spellStart"/>
      <w:r w:rsidR="5515C98E" w:rsidRPr="4E4ECEB3">
        <w:rPr>
          <w:rFonts w:ascii="Times New Roman" w:eastAsia="Times New Roman" w:hAnsi="Times New Roman" w:cs="Times New Roman"/>
        </w:rPr>
        <w:t>Jarrige</w:t>
      </w:r>
      <w:proofErr w:type="spellEnd"/>
      <w:r w:rsidR="79F56B6F">
        <w:rPr>
          <w:rFonts w:ascii="Times New Roman" w:eastAsia="Times New Roman" w:hAnsi="Times New Roman" w:cs="Times New Roman"/>
        </w:rPr>
        <w:t xml:space="preserve">, </w:t>
      </w:r>
      <w:proofErr w:type="spellStart"/>
      <w:r w:rsidR="5515C98E" w:rsidRPr="4E4ECEB3">
        <w:rPr>
          <w:rFonts w:ascii="Times New Roman" w:eastAsia="Times New Roman" w:hAnsi="Times New Roman" w:cs="Times New Roman"/>
        </w:rPr>
        <w:t>Vrignon</w:t>
      </w:r>
      <w:proofErr w:type="spellEnd"/>
      <w:r w:rsidR="5515C98E" w:rsidRPr="4E4ECEB3">
        <w:rPr>
          <w:rFonts w:ascii="Times New Roman" w:eastAsia="Times New Roman" w:hAnsi="Times New Roman" w:cs="Times New Roman"/>
        </w:rPr>
        <w:t xml:space="preserve"> 2020)</w:t>
      </w:r>
      <w:r w:rsidR="6E9C926C" w:rsidRPr="4E4ECEB3">
        <w:rPr>
          <w:rFonts w:ascii="Times New Roman" w:hAnsi="Times New Roman" w:cs="Times New Roman"/>
        </w:rPr>
        <w:t> :</w:t>
      </w:r>
      <w:r w:rsidR="09111D24" w:rsidRPr="4E4ECEB3">
        <w:rPr>
          <w:rFonts w:ascii="Times New Roman" w:hAnsi="Times New Roman" w:cs="Times New Roman"/>
        </w:rPr>
        <w:t xml:space="preserve"> l’était-elle réellement</w:t>
      </w:r>
      <w:r w:rsidR="6E9C926C" w:rsidRPr="4E4ECEB3">
        <w:rPr>
          <w:rFonts w:ascii="Times New Roman" w:hAnsi="Times New Roman" w:cs="Times New Roman"/>
        </w:rPr>
        <w:t xml:space="preserve"> et selon quels critères (intérêt privé, intérêt collectif, </w:t>
      </w:r>
      <w:r w:rsidR="0F28CCD2" w:rsidRPr="4E4ECEB3">
        <w:rPr>
          <w:rFonts w:ascii="Times New Roman" w:hAnsi="Times New Roman" w:cs="Times New Roman"/>
        </w:rPr>
        <w:t>poids économique sur un marché</w:t>
      </w:r>
      <w:r w:rsidR="6E9C926C" w:rsidRPr="4E4ECEB3">
        <w:rPr>
          <w:rFonts w:ascii="Times New Roman" w:hAnsi="Times New Roman" w:cs="Times New Roman"/>
        </w:rPr>
        <w:t>)</w:t>
      </w:r>
      <w:r w:rsidR="0F28CCD2" w:rsidRPr="4E4ECEB3">
        <w:rPr>
          <w:rFonts w:ascii="Times New Roman" w:hAnsi="Times New Roman" w:cs="Times New Roman"/>
        </w:rPr>
        <w:t xml:space="preserve"> </w:t>
      </w:r>
      <w:r w:rsidR="66433252" w:rsidRPr="4E4ECEB3">
        <w:rPr>
          <w:rFonts w:ascii="Times New Roman" w:hAnsi="Times New Roman" w:cs="Times New Roman"/>
        </w:rPr>
        <w:t>?</w:t>
      </w:r>
      <w:r w:rsidR="4631EBF3" w:rsidRPr="4E4ECEB3">
        <w:rPr>
          <w:rFonts w:ascii="Times New Roman" w:hAnsi="Times New Roman" w:cs="Times New Roman"/>
        </w:rPr>
        <w:t xml:space="preserve"> </w:t>
      </w:r>
      <w:r w:rsidR="511F5D9F" w:rsidRPr="4E4ECEB3">
        <w:rPr>
          <w:rFonts w:ascii="Times New Roman" w:hAnsi="Times New Roman" w:cs="Times New Roman"/>
        </w:rPr>
        <w:t>Dans les transitions successives, n</w:t>
      </w:r>
      <w:r w:rsidR="09111D24" w:rsidRPr="4E4ECEB3">
        <w:rPr>
          <w:rFonts w:ascii="Times New Roman" w:hAnsi="Times New Roman" w:cs="Times New Roman"/>
        </w:rPr>
        <w:t>’a-t-il pas existé des mix énergétiques plus complexes</w:t>
      </w:r>
      <w:r w:rsidR="4B7CAF06" w:rsidRPr="4E4ECEB3">
        <w:rPr>
          <w:rFonts w:ascii="Times New Roman" w:hAnsi="Times New Roman" w:cs="Times New Roman"/>
        </w:rPr>
        <w:t xml:space="preserve"> ? </w:t>
      </w:r>
      <w:r w:rsidR="66433252" w:rsidRPr="4E4ECEB3">
        <w:rPr>
          <w:rFonts w:ascii="Times New Roman" w:hAnsi="Times New Roman" w:cs="Times New Roman"/>
        </w:rPr>
        <w:t>Avoir établi l’existence de l’âge du charbon, âge du pétrole, âge du gaz</w:t>
      </w:r>
      <w:r w:rsidR="27C9A791" w:rsidRPr="4E4ECEB3">
        <w:rPr>
          <w:rFonts w:ascii="Times New Roman" w:hAnsi="Times New Roman" w:cs="Times New Roman"/>
        </w:rPr>
        <w:t>, âge de l’atome,</w:t>
      </w:r>
      <w:r w:rsidR="66433252" w:rsidRPr="4E4ECEB3">
        <w:rPr>
          <w:rFonts w:ascii="Times New Roman" w:hAnsi="Times New Roman" w:cs="Times New Roman"/>
        </w:rPr>
        <w:t xml:space="preserve"> </w:t>
      </w:r>
      <w:r w:rsidR="6C7A7077" w:rsidRPr="4E4ECEB3">
        <w:rPr>
          <w:rFonts w:ascii="Times New Roman" w:hAnsi="Times New Roman" w:cs="Times New Roman"/>
        </w:rPr>
        <w:t>a tendance à</w:t>
      </w:r>
      <w:r w:rsidR="66433252" w:rsidRPr="4E4ECEB3">
        <w:rPr>
          <w:rFonts w:ascii="Times New Roman" w:hAnsi="Times New Roman" w:cs="Times New Roman"/>
        </w:rPr>
        <w:t xml:space="preserve"> fige</w:t>
      </w:r>
      <w:r w:rsidR="6C7A7077" w:rsidRPr="4E4ECEB3">
        <w:rPr>
          <w:rFonts w:ascii="Times New Roman" w:hAnsi="Times New Roman" w:cs="Times New Roman"/>
        </w:rPr>
        <w:t xml:space="preserve">r </w:t>
      </w:r>
      <w:r w:rsidR="66433252" w:rsidRPr="4E4ECEB3">
        <w:rPr>
          <w:rFonts w:ascii="Times New Roman" w:hAnsi="Times New Roman" w:cs="Times New Roman"/>
        </w:rPr>
        <w:t>les choses</w:t>
      </w:r>
      <w:r w:rsidR="6C7A7077" w:rsidRPr="4E4ECEB3">
        <w:rPr>
          <w:rFonts w:ascii="Times New Roman" w:hAnsi="Times New Roman" w:cs="Times New Roman"/>
        </w:rPr>
        <w:t xml:space="preserve"> alors que les transitions, et la domination des différentes énergies, s’inscrivent dans un mouvement dont il revient d’analyser les causes profondes et les modalités</w:t>
      </w:r>
      <w:r w:rsidR="4B7CAF06" w:rsidRPr="4E4ECEB3">
        <w:rPr>
          <w:rFonts w:ascii="Times New Roman" w:hAnsi="Times New Roman" w:cs="Times New Roman"/>
        </w:rPr>
        <w:t>. Dans les grandes transitions énergétiques, on peut distinguer des</w:t>
      </w:r>
      <w:r w:rsidR="0F28CCD2" w:rsidRPr="4E4ECEB3">
        <w:rPr>
          <w:rFonts w:ascii="Times New Roman" w:hAnsi="Times New Roman" w:cs="Times New Roman"/>
        </w:rPr>
        <w:t xml:space="preserve"> périodes de flux et de reflux des énergies dominantes, des</w:t>
      </w:r>
      <w:r w:rsidR="4B7CAF06" w:rsidRPr="4E4ECEB3">
        <w:rPr>
          <w:rFonts w:ascii="Times New Roman" w:hAnsi="Times New Roman" w:cs="Times New Roman"/>
        </w:rPr>
        <w:t xml:space="preserve"> tentatives abandonnées, des transitions attendues mais qui n’ont pas eu lieu. </w:t>
      </w:r>
      <w:r w:rsidR="4209B8F0" w:rsidRPr="4E4ECEB3">
        <w:rPr>
          <w:rFonts w:ascii="Times New Roman" w:hAnsi="Times New Roman" w:cs="Times New Roman"/>
        </w:rPr>
        <w:t xml:space="preserve">Par exemple, le pétrole qui a pris de l’importance pendant la Première Guerre mondiale n’était pas </w:t>
      </w:r>
      <w:r w:rsidR="7EDE0886" w:rsidRPr="4E4ECEB3">
        <w:rPr>
          <w:rFonts w:ascii="Times New Roman" w:hAnsi="Times New Roman" w:cs="Times New Roman"/>
        </w:rPr>
        <w:t xml:space="preserve">en position dominante </w:t>
      </w:r>
      <w:r w:rsidR="4209B8F0" w:rsidRPr="4E4ECEB3">
        <w:rPr>
          <w:rFonts w:ascii="Times New Roman" w:hAnsi="Times New Roman" w:cs="Times New Roman"/>
        </w:rPr>
        <w:t>dans le mix durant l’entre-deux-guerres en France</w:t>
      </w:r>
      <w:r w:rsidR="14C252C2" w:rsidRPr="4E4ECEB3">
        <w:rPr>
          <w:rFonts w:ascii="Times New Roman" w:hAnsi="Times New Roman" w:cs="Times New Roman"/>
        </w:rPr>
        <w:t>,</w:t>
      </w:r>
      <w:r w:rsidR="4209B8F0" w:rsidRPr="4E4ECEB3">
        <w:rPr>
          <w:rFonts w:ascii="Times New Roman" w:hAnsi="Times New Roman" w:cs="Times New Roman"/>
        </w:rPr>
        <w:t xml:space="preserve"> contrairement à d’autres pays.</w:t>
      </w:r>
      <w:r w:rsidR="130850CD" w:rsidRPr="4E4ECEB3">
        <w:rPr>
          <w:rFonts w:ascii="Times New Roman" w:hAnsi="Times New Roman" w:cs="Times New Roman"/>
        </w:rPr>
        <w:t xml:space="preserve"> </w:t>
      </w:r>
      <w:r w:rsidR="130850CD" w:rsidRPr="00C223C6">
        <w:rPr>
          <w:rFonts w:ascii="Times New Roman" w:hAnsi="Times New Roman" w:cs="Times New Roman"/>
        </w:rPr>
        <w:t>L’histoire du charbon mérite d’être repositionnée</w:t>
      </w:r>
      <w:r w:rsidR="63DB4D3B" w:rsidRPr="00C223C6">
        <w:rPr>
          <w:rFonts w:ascii="Times New Roman" w:hAnsi="Times New Roman" w:cs="Times New Roman"/>
        </w:rPr>
        <w:t xml:space="preserve"> dans toute sa profondeur historique et géographique</w:t>
      </w:r>
      <w:r w:rsidR="130850CD" w:rsidRPr="00C223C6">
        <w:rPr>
          <w:rFonts w:ascii="Times New Roman" w:hAnsi="Times New Roman" w:cs="Times New Roman"/>
        </w:rPr>
        <w:t xml:space="preserve">. </w:t>
      </w:r>
    </w:p>
    <w:p w14:paraId="56D64CF6" w14:textId="530829BA" w:rsidR="002D1DA0" w:rsidRDefault="008B397B" w:rsidP="00A328B0">
      <w:pPr>
        <w:spacing w:line="276" w:lineRule="auto"/>
        <w:jc w:val="both"/>
        <w:rPr>
          <w:rFonts w:ascii="Times New Roman" w:hAnsi="Times New Roman" w:cs="Times New Roman"/>
        </w:rPr>
      </w:pPr>
      <w:r w:rsidRPr="6B0818EF">
        <w:rPr>
          <w:rFonts w:ascii="Times New Roman" w:hAnsi="Times New Roman" w:cs="Times New Roman"/>
        </w:rPr>
        <w:t>Reconstituer</w:t>
      </w:r>
      <w:r w:rsidR="00997390" w:rsidRPr="6B0818EF">
        <w:rPr>
          <w:rFonts w:ascii="Times New Roman" w:hAnsi="Times New Roman" w:cs="Times New Roman"/>
        </w:rPr>
        <w:t xml:space="preserve"> finement</w:t>
      </w:r>
      <w:r w:rsidRPr="6B0818EF">
        <w:rPr>
          <w:rFonts w:ascii="Times New Roman" w:hAnsi="Times New Roman" w:cs="Times New Roman"/>
        </w:rPr>
        <w:t xml:space="preserve"> l’histoire de ces mix </w:t>
      </w:r>
      <w:r w:rsidR="18A2C6F1" w:rsidRPr="6B0818EF">
        <w:rPr>
          <w:rFonts w:ascii="Times New Roman" w:hAnsi="Times New Roman" w:cs="Times New Roman"/>
        </w:rPr>
        <w:t xml:space="preserve">et plus particulièrement des acteurs historiques de ces mix, </w:t>
      </w:r>
      <w:r w:rsidRPr="6B0818EF">
        <w:rPr>
          <w:rFonts w:ascii="Times New Roman" w:hAnsi="Times New Roman" w:cs="Times New Roman"/>
        </w:rPr>
        <w:t xml:space="preserve">dans une perspective globale </w:t>
      </w:r>
      <w:r w:rsidR="00CD75D1" w:rsidRPr="6B0818EF">
        <w:rPr>
          <w:rFonts w:ascii="Times New Roman" w:hAnsi="Times New Roman" w:cs="Times New Roman"/>
        </w:rPr>
        <w:t xml:space="preserve">et internationale, </w:t>
      </w:r>
      <w:r w:rsidRPr="6B0818EF">
        <w:rPr>
          <w:rFonts w:ascii="Times New Roman" w:hAnsi="Times New Roman" w:cs="Times New Roman"/>
        </w:rPr>
        <w:t>de manière territorialisée</w:t>
      </w:r>
      <w:r w:rsidR="00CD75D1" w:rsidRPr="6B0818EF">
        <w:rPr>
          <w:rFonts w:ascii="Times New Roman" w:hAnsi="Times New Roman" w:cs="Times New Roman"/>
        </w:rPr>
        <w:t>,</w:t>
      </w:r>
      <w:r w:rsidRPr="6B0818EF">
        <w:rPr>
          <w:rFonts w:ascii="Times New Roman" w:hAnsi="Times New Roman" w:cs="Times New Roman"/>
        </w:rPr>
        <w:t xml:space="preserve"> permettrait d’éclairer ces questions et de contribuer à faire progresser le débat sur l’histoire des transitions.</w:t>
      </w:r>
    </w:p>
    <w:p w14:paraId="723C4E5C" w14:textId="6104B2FD" w:rsidR="00B502A9" w:rsidRDefault="00B502A9" w:rsidP="002D1DA0">
      <w:pPr>
        <w:jc w:val="both"/>
        <w:rPr>
          <w:rFonts w:ascii="Times New Roman" w:hAnsi="Times New Roman" w:cs="Times New Roman"/>
        </w:rPr>
      </w:pPr>
    </w:p>
    <w:p w14:paraId="3B1D7C83" w14:textId="3B1FBF6E" w:rsidR="00EC78FF" w:rsidRDefault="30282CE0" w:rsidP="00164265">
      <w:p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6AFA7E40">
        <w:rPr>
          <w:rFonts w:ascii="Times New Roman" w:hAnsi="Times New Roman" w:cs="Times New Roman"/>
          <w:b/>
          <w:bCs/>
        </w:rPr>
        <w:t xml:space="preserve">Axe 2 : </w:t>
      </w:r>
      <w:r w:rsidR="7C412D4D" w:rsidRPr="6AFA7E40">
        <w:rPr>
          <w:rFonts w:ascii="Times New Roman" w:hAnsi="Times New Roman" w:cs="Times New Roman"/>
          <w:b/>
          <w:bCs/>
        </w:rPr>
        <w:t>C</w:t>
      </w:r>
      <w:r w:rsidR="60F88FF2" w:rsidRPr="6AFA7E40">
        <w:rPr>
          <w:rFonts w:ascii="Times New Roman" w:hAnsi="Times New Roman" w:cs="Times New Roman"/>
          <w:b/>
          <w:bCs/>
        </w:rPr>
        <w:t>onsommat</w:t>
      </w:r>
      <w:r w:rsidR="19CEF5C0" w:rsidRPr="6AFA7E40">
        <w:rPr>
          <w:rFonts w:ascii="Times New Roman" w:hAnsi="Times New Roman" w:cs="Times New Roman"/>
          <w:b/>
          <w:bCs/>
        </w:rPr>
        <w:t>eurs</w:t>
      </w:r>
      <w:r w:rsidR="047F9F65" w:rsidRPr="6AFA7E40">
        <w:rPr>
          <w:rFonts w:ascii="Times New Roman" w:hAnsi="Times New Roman" w:cs="Times New Roman"/>
          <w:b/>
          <w:bCs/>
        </w:rPr>
        <w:t>, consommatr</w:t>
      </w:r>
      <w:r w:rsidR="74932523" w:rsidRPr="6AFA7E40">
        <w:rPr>
          <w:rFonts w:ascii="Times New Roman" w:hAnsi="Times New Roman" w:cs="Times New Roman"/>
          <w:b/>
          <w:bCs/>
        </w:rPr>
        <w:t>ices</w:t>
      </w:r>
      <w:r w:rsidR="60F88FF2" w:rsidRPr="6AFA7E40">
        <w:rPr>
          <w:rFonts w:ascii="Times New Roman" w:hAnsi="Times New Roman" w:cs="Times New Roman"/>
          <w:b/>
          <w:bCs/>
        </w:rPr>
        <w:t xml:space="preserve"> et </w:t>
      </w:r>
      <w:r w:rsidR="7A4F7988" w:rsidRPr="6AFA7E40">
        <w:rPr>
          <w:rFonts w:ascii="Times New Roman" w:hAnsi="Times New Roman" w:cs="Times New Roman"/>
          <w:b/>
          <w:bCs/>
        </w:rPr>
        <w:t xml:space="preserve">transitions énergétiques </w:t>
      </w:r>
    </w:p>
    <w:p w14:paraId="79B645F3" w14:textId="77777777" w:rsidR="00EC78FF" w:rsidRDefault="00EC78FF" w:rsidP="002D1DA0">
      <w:pPr>
        <w:jc w:val="both"/>
        <w:rPr>
          <w:rFonts w:ascii="Times New Roman" w:hAnsi="Times New Roman" w:cs="Times New Roman"/>
          <w:b/>
          <w:bCs/>
        </w:rPr>
      </w:pPr>
    </w:p>
    <w:p w14:paraId="1B0328F8" w14:textId="2911684C" w:rsidR="00820BF3" w:rsidRDefault="6A1FA577" w:rsidP="007C4C24">
      <w:pPr>
        <w:spacing w:line="276" w:lineRule="auto"/>
        <w:jc w:val="both"/>
        <w:rPr>
          <w:rFonts w:ascii="Times New Roman" w:hAnsi="Times New Roman" w:cs="Times New Roman"/>
        </w:rPr>
      </w:pPr>
      <w:r w:rsidRPr="4E4ECEB3">
        <w:rPr>
          <w:rFonts w:ascii="Times New Roman" w:hAnsi="Times New Roman" w:cs="Times New Roman"/>
        </w:rPr>
        <w:t>L’énergie n’est pas un bien de consommation comme un autre, sa fonction est vitale : se déplacer, se chauffer, se nourrir</w:t>
      </w:r>
      <w:r w:rsidRPr="00C223C6">
        <w:rPr>
          <w:rFonts w:ascii="Times New Roman" w:hAnsi="Times New Roman" w:cs="Times New Roman"/>
        </w:rPr>
        <w:t xml:space="preserve">… </w:t>
      </w:r>
      <w:r w:rsidR="4F12CF60" w:rsidRPr="00C223C6">
        <w:rPr>
          <w:rFonts w:ascii="Times New Roman" w:hAnsi="Times New Roman" w:cs="Times New Roman"/>
        </w:rPr>
        <w:t xml:space="preserve">Longtemps, dans les budgets, sa part a été loin des dépenses d’alimentation mais progressivement le poids des dépenses énergétiques est devenu majeur. </w:t>
      </w:r>
      <w:r w:rsidR="4463CF4F" w:rsidRPr="4E4ECEB3">
        <w:rPr>
          <w:rFonts w:ascii="Times New Roman" w:hAnsi="Times New Roman" w:cs="Times New Roman"/>
        </w:rPr>
        <w:t xml:space="preserve">L’adoption d’une approche d’histoire sociale et culturelle invite à réfléchir sur </w:t>
      </w:r>
      <w:r w:rsidR="21E88187" w:rsidRPr="4E4ECEB3">
        <w:rPr>
          <w:rFonts w:ascii="Times New Roman" w:hAnsi="Times New Roman" w:cs="Times New Roman"/>
        </w:rPr>
        <w:t>le rôle</w:t>
      </w:r>
      <w:r w:rsidR="1FD927E7" w:rsidRPr="4E4ECEB3">
        <w:rPr>
          <w:rFonts w:ascii="Times New Roman" w:hAnsi="Times New Roman" w:cs="Times New Roman"/>
        </w:rPr>
        <w:t xml:space="preserve"> </w:t>
      </w:r>
      <w:r w:rsidR="26DC1577" w:rsidRPr="4E4ECEB3">
        <w:rPr>
          <w:rFonts w:ascii="Times New Roman" w:hAnsi="Times New Roman" w:cs="Times New Roman"/>
        </w:rPr>
        <w:t xml:space="preserve">moteur </w:t>
      </w:r>
      <w:r w:rsidR="1FD927E7" w:rsidRPr="4E4ECEB3">
        <w:rPr>
          <w:rFonts w:ascii="Times New Roman" w:hAnsi="Times New Roman" w:cs="Times New Roman"/>
        </w:rPr>
        <w:t>des consommateurs et des consommatrices</w:t>
      </w:r>
      <w:r w:rsidRPr="4E4ECEB3">
        <w:rPr>
          <w:rFonts w:ascii="Times New Roman" w:hAnsi="Times New Roman" w:cs="Times New Roman"/>
        </w:rPr>
        <w:t xml:space="preserve"> au-delà </w:t>
      </w:r>
      <w:r w:rsidR="21E88187" w:rsidRPr="4E4ECEB3">
        <w:rPr>
          <w:rFonts w:ascii="Times New Roman" w:hAnsi="Times New Roman" w:cs="Times New Roman"/>
        </w:rPr>
        <w:t>de la</w:t>
      </w:r>
      <w:r w:rsidRPr="4E4ECEB3">
        <w:rPr>
          <w:rFonts w:ascii="Times New Roman" w:hAnsi="Times New Roman" w:cs="Times New Roman"/>
        </w:rPr>
        <w:t xml:space="preserve"> seul</w:t>
      </w:r>
      <w:r w:rsidR="21E88187" w:rsidRPr="4E4ECEB3">
        <w:rPr>
          <w:rFonts w:ascii="Times New Roman" w:hAnsi="Times New Roman" w:cs="Times New Roman"/>
        </w:rPr>
        <w:t>e influence</w:t>
      </w:r>
      <w:r w:rsidRPr="4E4ECEB3">
        <w:rPr>
          <w:rFonts w:ascii="Times New Roman" w:hAnsi="Times New Roman" w:cs="Times New Roman"/>
        </w:rPr>
        <w:t xml:space="preserve"> des producteurs d’énergie</w:t>
      </w:r>
      <w:r w:rsidR="1FD927E7" w:rsidRPr="4E4ECEB3">
        <w:rPr>
          <w:rFonts w:ascii="Times New Roman" w:hAnsi="Times New Roman" w:cs="Times New Roman"/>
        </w:rPr>
        <w:t xml:space="preserve"> dans les transitions du mix</w:t>
      </w:r>
      <w:r w:rsidR="21E88187" w:rsidRPr="4E4ECEB3">
        <w:rPr>
          <w:rFonts w:ascii="Times New Roman" w:hAnsi="Times New Roman" w:cs="Times New Roman"/>
        </w:rPr>
        <w:t>.</w:t>
      </w:r>
      <w:r w:rsidR="4463CF4F" w:rsidRPr="4E4ECEB3">
        <w:rPr>
          <w:rFonts w:ascii="Times New Roman" w:hAnsi="Times New Roman" w:cs="Times New Roman"/>
        </w:rPr>
        <w:t xml:space="preserve"> </w:t>
      </w:r>
      <w:r w:rsidR="36399F25" w:rsidRPr="4E4ECEB3">
        <w:rPr>
          <w:rFonts w:ascii="Times New Roman" w:hAnsi="Times New Roman" w:cs="Times New Roman"/>
        </w:rPr>
        <w:t>Cette approche demande de mobiliser des éléments d’histoire culturelle pour comprendre l’émergence de certaines sources d’énergie dans la société</w:t>
      </w:r>
      <w:r w:rsidR="5A1B22CE" w:rsidRPr="4E4ECEB3">
        <w:rPr>
          <w:rFonts w:ascii="Times New Roman" w:hAnsi="Times New Roman" w:cs="Times New Roman"/>
        </w:rPr>
        <w:t>.</w:t>
      </w:r>
      <w:r w:rsidR="21E88187" w:rsidRPr="4E4ECEB3">
        <w:rPr>
          <w:rFonts w:ascii="Times New Roman" w:hAnsi="Times New Roman" w:cs="Times New Roman"/>
        </w:rPr>
        <w:t xml:space="preserve">  </w:t>
      </w:r>
      <w:r w:rsidR="71CDB161" w:rsidRPr="4E4ECEB3">
        <w:rPr>
          <w:rFonts w:ascii="Times New Roman" w:hAnsi="Times New Roman" w:cs="Times New Roman"/>
        </w:rPr>
        <w:t xml:space="preserve">Les </w:t>
      </w:r>
      <w:r w:rsidR="21E88187" w:rsidRPr="4E4ECEB3">
        <w:rPr>
          <w:rFonts w:ascii="Times New Roman" w:hAnsi="Times New Roman" w:cs="Times New Roman"/>
        </w:rPr>
        <w:t xml:space="preserve">« nouvelles » énergies </w:t>
      </w:r>
      <w:r w:rsidR="2928108C" w:rsidRPr="4E4ECEB3">
        <w:rPr>
          <w:rFonts w:ascii="Times New Roman" w:hAnsi="Times New Roman" w:cs="Times New Roman"/>
        </w:rPr>
        <w:t xml:space="preserve">ont </w:t>
      </w:r>
      <w:r w:rsidR="2ADEB484" w:rsidRPr="4E4ECEB3">
        <w:rPr>
          <w:rFonts w:ascii="Times New Roman" w:hAnsi="Times New Roman" w:cs="Times New Roman"/>
        </w:rPr>
        <w:t xml:space="preserve">été associées </w:t>
      </w:r>
      <w:r w:rsidR="21E88187" w:rsidRPr="4E4ECEB3">
        <w:rPr>
          <w:rFonts w:ascii="Times New Roman" w:hAnsi="Times New Roman" w:cs="Times New Roman"/>
        </w:rPr>
        <w:t>à la notion de progrès social, scientifique et technique.</w:t>
      </w:r>
      <w:r w:rsidR="36399F25" w:rsidRPr="4E4ECEB3">
        <w:rPr>
          <w:rFonts w:ascii="Times New Roman" w:hAnsi="Times New Roman" w:cs="Times New Roman"/>
        </w:rPr>
        <w:t xml:space="preserve"> </w:t>
      </w:r>
      <w:r w:rsidR="6AE7BF3C" w:rsidRPr="4E4ECEB3">
        <w:rPr>
          <w:rFonts w:ascii="Times New Roman" w:hAnsi="Times New Roman" w:cs="Times New Roman"/>
        </w:rPr>
        <w:t xml:space="preserve">Ce récit de la modernité reste encore présent mais a été considérablement nuancé par les analyses historiques. </w:t>
      </w:r>
      <w:r w:rsidR="21E88187" w:rsidRPr="4E4ECEB3">
        <w:rPr>
          <w:rFonts w:ascii="Times New Roman" w:hAnsi="Times New Roman" w:cs="Times New Roman"/>
        </w:rPr>
        <w:t xml:space="preserve">De plus, </w:t>
      </w:r>
      <w:r w:rsidR="2CD58AFA" w:rsidRPr="4E4ECEB3">
        <w:rPr>
          <w:rFonts w:ascii="Times New Roman" w:hAnsi="Times New Roman" w:cs="Times New Roman"/>
        </w:rPr>
        <w:t>l</w:t>
      </w:r>
      <w:r w:rsidR="21E88187" w:rsidRPr="4E4ECEB3">
        <w:rPr>
          <w:rFonts w:ascii="Times New Roman" w:hAnsi="Times New Roman" w:cs="Times New Roman"/>
        </w:rPr>
        <w:t>’</w:t>
      </w:r>
      <w:r w:rsidR="36399F25" w:rsidRPr="4E4ECEB3">
        <w:rPr>
          <w:rFonts w:ascii="Times New Roman" w:hAnsi="Times New Roman" w:cs="Times New Roman"/>
        </w:rPr>
        <w:t>omniprésence</w:t>
      </w:r>
      <w:r w:rsidR="2CD58AFA" w:rsidRPr="4E4ECEB3">
        <w:rPr>
          <w:rFonts w:ascii="Times New Roman" w:hAnsi="Times New Roman" w:cs="Times New Roman"/>
        </w:rPr>
        <w:t xml:space="preserve"> </w:t>
      </w:r>
      <w:r w:rsidR="524D2390" w:rsidRPr="4E4ECEB3">
        <w:rPr>
          <w:rFonts w:ascii="Times New Roman" w:hAnsi="Times New Roman" w:cs="Times New Roman"/>
        </w:rPr>
        <w:t xml:space="preserve">des énergies </w:t>
      </w:r>
      <w:r w:rsidR="36399F25" w:rsidRPr="4E4ECEB3">
        <w:rPr>
          <w:rFonts w:ascii="Times New Roman" w:hAnsi="Times New Roman" w:cs="Times New Roman"/>
        </w:rPr>
        <w:t>dans</w:t>
      </w:r>
      <w:r w:rsidR="6812BDB1" w:rsidRPr="4E4ECEB3">
        <w:rPr>
          <w:rFonts w:ascii="Times New Roman" w:hAnsi="Times New Roman" w:cs="Times New Roman"/>
        </w:rPr>
        <w:t xml:space="preserve"> </w:t>
      </w:r>
      <w:r w:rsidR="2CD58AFA" w:rsidRPr="4E4ECEB3">
        <w:rPr>
          <w:rFonts w:ascii="Times New Roman" w:hAnsi="Times New Roman" w:cs="Times New Roman"/>
        </w:rPr>
        <w:t>l’espace public</w:t>
      </w:r>
      <w:r w:rsidR="524D2390" w:rsidRPr="4E4ECEB3">
        <w:rPr>
          <w:rFonts w:ascii="Times New Roman" w:hAnsi="Times New Roman" w:cs="Times New Roman"/>
        </w:rPr>
        <w:t xml:space="preserve">, notamment à travers </w:t>
      </w:r>
      <w:r w:rsidR="19CEF5C0" w:rsidRPr="4E4ECEB3">
        <w:rPr>
          <w:rFonts w:ascii="Times New Roman" w:hAnsi="Times New Roman" w:cs="Times New Roman"/>
        </w:rPr>
        <w:t>des</w:t>
      </w:r>
      <w:r w:rsidR="524D2390" w:rsidRPr="4E4ECEB3">
        <w:rPr>
          <w:rFonts w:ascii="Times New Roman" w:hAnsi="Times New Roman" w:cs="Times New Roman"/>
        </w:rPr>
        <w:t xml:space="preserve"> réseau</w:t>
      </w:r>
      <w:r w:rsidR="19CEF5C0" w:rsidRPr="4E4ECEB3">
        <w:rPr>
          <w:rFonts w:ascii="Times New Roman" w:hAnsi="Times New Roman" w:cs="Times New Roman"/>
        </w:rPr>
        <w:t>x</w:t>
      </w:r>
      <w:r w:rsidR="524D2390" w:rsidRPr="4E4ECEB3">
        <w:rPr>
          <w:rFonts w:ascii="Times New Roman" w:hAnsi="Times New Roman" w:cs="Times New Roman"/>
        </w:rPr>
        <w:t xml:space="preserve"> de distribution</w:t>
      </w:r>
      <w:r w:rsidR="1503E8EC" w:rsidRPr="4E4ECEB3">
        <w:rPr>
          <w:rFonts w:ascii="Times New Roman" w:hAnsi="Times New Roman" w:cs="Times New Roman"/>
        </w:rPr>
        <w:t>, la propagande et</w:t>
      </w:r>
      <w:r w:rsidR="524D2390" w:rsidRPr="4E4ECEB3">
        <w:rPr>
          <w:rFonts w:ascii="Times New Roman" w:hAnsi="Times New Roman" w:cs="Times New Roman"/>
        </w:rPr>
        <w:t xml:space="preserve"> </w:t>
      </w:r>
      <w:r w:rsidR="7EAFA3F5" w:rsidRPr="4E4ECEB3">
        <w:rPr>
          <w:rFonts w:ascii="Times New Roman" w:hAnsi="Times New Roman" w:cs="Times New Roman"/>
        </w:rPr>
        <w:t xml:space="preserve">la </w:t>
      </w:r>
      <w:r w:rsidR="2CD58AFA" w:rsidRPr="4E4ECEB3">
        <w:rPr>
          <w:rFonts w:ascii="Times New Roman" w:hAnsi="Times New Roman" w:cs="Times New Roman"/>
        </w:rPr>
        <w:t>communication publicitaire</w:t>
      </w:r>
      <w:r w:rsidR="524D2390" w:rsidRPr="4E4ECEB3">
        <w:rPr>
          <w:rFonts w:ascii="Times New Roman" w:hAnsi="Times New Roman" w:cs="Times New Roman"/>
        </w:rPr>
        <w:t>,</w:t>
      </w:r>
      <w:r w:rsidR="36399F25" w:rsidRPr="4E4ECEB3">
        <w:rPr>
          <w:rFonts w:ascii="Times New Roman" w:hAnsi="Times New Roman" w:cs="Times New Roman"/>
        </w:rPr>
        <w:t xml:space="preserve"> </w:t>
      </w:r>
      <w:r w:rsidR="21E88187" w:rsidRPr="4E4ECEB3">
        <w:rPr>
          <w:rFonts w:ascii="Times New Roman" w:hAnsi="Times New Roman" w:cs="Times New Roman"/>
        </w:rPr>
        <w:t>a</w:t>
      </w:r>
      <w:r w:rsidR="36399F25" w:rsidRPr="4E4ECEB3">
        <w:rPr>
          <w:rFonts w:ascii="Times New Roman" w:hAnsi="Times New Roman" w:cs="Times New Roman"/>
        </w:rPr>
        <w:t xml:space="preserve"> profondément influencé </w:t>
      </w:r>
      <w:r w:rsidR="7662D891" w:rsidRPr="4E4ECEB3">
        <w:rPr>
          <w:rFonts w:ascii="Times New Roman" w:hAnsi="Times New Roman" w:cs="Times New Roman"/>
        </w:rPr>
        <w:t>les</w:t>
      </w:r>
      <w:r w:rsidR="36399F25" w:rsidRPr="4E4ECEB3">
        <w:rPr>
          <w:rFonts w:ascii="Times New Roman" w:hAnsi="Times New Roman" w:cs="Times New Roman"/>
        </w:rPr>
        <w:t xml:space="preserve"> modes de consommation</w:t>
      </w:r>
      <w:r w:rsidR="1A58028B" w:rsidRPr="4E4ECEB3">
        <w:rPr>
          <w:rFonts w:ascii="Times New Roman" w:hAnsi="Times New Roman" w:cs="Times New Roman"/>
        </w:rPr>
        <w:t>, les pratiques, les techniques</w:t>
      </w:r>
      <w:r w:rsidR="2CD58AFA" w:rsidRPr="4E4ECEB3">
        <w:rPr>
          <w:rFonts w:ascii="Times New Roman" w:hAnsi="Times New Roman" w:cs="Times New Roman"/>
        </w:rPr>
        <w:t xml:space="preserve"> mais aussi les rôles sociaux</w:t>
      </w:r>
      <w:r w:rsidR="36399F25" w:rsidRPr="4E4ECEB3">
        <w:rPr>
          <w:rFonts w:ascii="Times New Roman" w:hAnsi="Times New Roman" w:cs="Times New Roman"/>
        </w:rPr>
        <w:t xml:space="preserve"> et bouleversé </w:t>
      </w:r>
      <w:r w:rsidR="7662D891" w:rsidRPr="4E4ECEB3">
        <w:rPr>
          <w:rFonts w:ascii="Times New Roman" w:hAnsi="Times New Roman" w:cs="Times New Roman"/>
        </w:rPr>
        <w:t>la</w:t>
      </w:r>
      <w:r w:rsidR="36399F25" w:rsidRPr="4E4ECEB3">
        <w:rPr>
          <w:rFonts w:ascii="Times New Roman" w:hAnsi="Times New Roman" w:cs="Times New Roman"/>
        </w:rPr>
        <w:t xml:space="preserve"> relation avec les phénomènes énergétiques.</w:t>
      </w:r>
      <w:r w:rsidR="74932523" w:rsidRPr="4E4ECEB3">
        <w:rPr>
          <w:rFonts w:ascii="Times New Roman" w:hAnsi="Times New Roman" w:cs="Times New Roman"/>
        </w:rPr>
        <w:t xml:space="preserve"> </w:t>
      </w:r>
    </w:p>
    <w:p w14:paraId="121CC8A0" w14:textId="39D10DEC" w:rsidR="007C4C24" w:rsidRDefault="00820BF3" w:rsidP="007C4C24">
      <w:pPr>
        <w:spacing w:line="276" w:lineRule="auto"/>
        <w:jc w:val="both"/>
        <w:rPr>
          <w:rFonts w:ascii="Times New Roman" w:hAnsi="Times New Roman" w:cs="Times New Roman"/>
        </w:rPr>
      </w:pPr>
      <w:r w:rsidRPr="6B0818EF">
        <w:rPr>
          <w:rFonts w:ascii="Times New Roman" w:hAnsi="Times New Roman" w:cs="Times New Roman"/>
        </w:rPr>
        <w:t>Alors que</w:t>
      </w:r>
      <w:r w:rsidR="00133A0F" w:rsidRPr="6B0818EF">
        <w:rPr>
          <w:rFonts w:ascii="Times New Roman" w:hAnsi="Times New Roman" w:cs="Times New Roman"/>
        </w:rPr>
        <w:t xml:space="preserve"> l</w:t>
      </w:r>
      <w:r w:rsidR="00BD390C" w:rsidRPr="6B0818EF">
        <w:rPr>
          <w:rFonts w:ascii="Times New Roman" w:hAnsi="Times New Roman" w:cs="Times New Roman"/>
        </w:rPr>
        <w:t>es pratiques</w:t>
      </w:r>
      <w:r w:rsidR="00311964" w:rsidRPr="6B0818EF">
        <w:rPr>
          <w:rFonts w:ascii="Times New Roman" w:hAnsi="Times New Roman" w:cs="Times New Roman"/>
        </w:rPr>
        <w:t xml:space="preserve">, </w:t>
      </w:r>
      <w:r w:rsidR="00BD390C" w:rsidRPr="6B0818EF">
        <w:rPr>
          <w:rFonts w:ascii="Times New Roman" w:hAnsi="Times New Roman" w:cs="Times New Roman"/>
        </w:rPr>
        <w:t>les choix</w:t>
      </w:r>
      <w:r w:rsidR="00311964" w:rsidRPr="6B0818EF">
        <w:rPr>
          <w:rFonts w:ascii="Times New Roman" w:hAnsi="Times New Roman" w:cs="Times New Roman"/>
        </w:rPr>
        <w:t xml:space="preserve"> et les équipements</w:t>
      </w:r>
      <w:r w:rsidR="00BD390C" w:rsidRPr="6B0818EF">
        <w:rPr>
          <w:rFonts w:ascii="Times New Roman" w:hAnsi="Times New Roman" w:cs="Times New Roman"/>
        </w:rPr>
        <w:t xml:space="preserve"> énergétiques </w:t>
      </w:r>
      <w:r w:rsidR="00133A0F" w:rsidRPr="6B0818EF">
        <w:rPr>
          <w:rFonts w:ascii="Times New Roman" w:hAnsi="Times New Roman" w:cs="Times New Roman"/>
        </w:rPr>
        <w:t xml:space="preserve">s’invitent </w:t>
      </w:r>
      <w:r w:rsidR="00BD390C" w:rsidRPr="6B0818EF">
        <w:rPr>
          <w:rFonts w:ascii="Times New Roman" w:hAnsi="Times New Roman" w:cs="Times New Roman"/>
        </w:rPr>
        <w:t>d</w:t>
      </w:r>
      <w:r w:rsidR="00133A0F" w:rsidRPr="6B0818EF">
        <w:rPr>
          <w:rFonts w:ascii="Times New Roman" w:hAnsi="Times New Roman" w:cs="Times New Roman"/>
        </w:rPr>
        <w:t>ans</w:t>
      </w:r>
      <w:r w:rsidR="00BD390C" w:rsidRPr="6B0818EF">
        <w:rPr>
          <w:rFonts w:ascii="Times New Roman" w:hAnsi="Times New Roman" w:cs="Times New Roman"/>
        </w:rPr>
        <w:t xml:space="preserve"> l’espace privé</w:t>
      </w:r>
      <w:r w:rsidR="008D1CD6">
        <w:rPr>
          <w:rFonts w:ascii="Times New Roman" w:hAnsi="Times New Roman" w:cs="Times New Roman"/>
        </w:rPr>
        <w:t>,</w:t>
      </w:r>
      <w:r w:rsidRPr="6B0818EF">
        <w:rPr>
          <w:rFonts w:ascii="Times New Roman" w:hAnsi="Times New Roman" w:cs="Times New Roman"/>
        </w:rPr>
        <w:t xml:space="preserve"> ils</w:t>
      </w:r>
      <w:r w:rsidR="00BD390C" w:rsidRPr="6B0818EF">
        <w:rPr>
          <w:rFonts w:ascii="Times New Roman" w:hAnsi="Times New Roman" w:cs="Times New Roman"/>
        </w:rPr>
        <w:t xml:space="preserve"> mettent en jeu des rapports de genre. L</w:t>
      </w:r>
      <w:r w:rsidR="00311964" w:rsidRPr="6B0818EF">
        <w:rPr>
          <w:rFonts w:ascii="Times New Roman" w:hAnsi="Times New Roman" w:cs="Times New Roman"/>
        </w:rPr>
        <w:t>’évolution</w:t>
      </w:r>
      <w:r w:rsidR="007C4C24" w:rsidRPr="6B0818EF">
        <w:rPr>
          <w:rFonts w:ascii="Times New Roman" w:hAnsi="Times New Roman" w:cs="Times New Roman"/>
        </w:rPr>
        <w:t xml:space="preserve"> du rôle des femmes</w:t>
      </w:r>
      <w:r w:rsidR="00BD390C" w:rsidRPr="6B0818EF">
        <w:rPr>
          <w:rFonts w:ascii="Times New Roman" w:hAnsi="Times New Roman" w:cs="Times New Roman"/>
        </w:rPr>
        <w:t xml:space="preserve"> </w:t>
      </w:r>
      <w:r w:rsidR="007C4C24" w:rsidRPr="6B0818EF">
        <w:rPr>
          <w:rFonts w:ascii="Times New Roman" w:hAnsi="Times New Roman" w:cs="Times New Roman"/>
        </w:rPr>
        <w:t>dans la gestion de l’énergie domestique et leurs responsabil</w:t>
      </w:r>
      <w:r w:rsidR="0014051C" w:rsidRPr="6B0818EF">
        <w:rPr>
          <w:rFonts w:ascii="Times New Roman" w:hAnsi="Times New Roman" w:cs="Times New Roman"/>
        </w:rPr>
        <w:t>ités</w:t>
      </w:r>
      <w:r w:rsidR="007C4C24" w:rsidRPr="6B0818EF">
        <w:rPr>
          <w:rFonts w:ascii="Times New Roman" w:hAnsi="Times New Roman" w:cs="Times New Roman"/>
        </w:rPr>
        <w:t xml:space="preserve"> dans la prise de décision </w:t>
      </w:r>
      <w:r w:rsidR="00BD390C" w:rsidRPr="6B0818EF">
        <w:rPr>
          <w:rFonts w:ascii="Times New Roman" w:hAnsi="Times New Roman" w:cs="Times New Roman"/>
        </w:rPr>
        <w:t>du</w:t>
      </w:r>
      <w:r w:rsidR="007C4C24" w:rsidRPr="6B0818EF">
        <w:rPr>
          <w:rFonts w:ascii="Times New Roman" w:hAnsi="Times New Roman" w:cs="Times New Roman"/>
        </w:rPr>
        <w:t xml:space="preserve"> </w:t>
      </w:r>
      <w:r w:rsidR="00311964" w:rsidRPr="6B0818EF">
        <w:rPr>
          <w:rFonts w:ascii="Times New Roman" w:hAnsi="Times New Roman" w:cs="Times New Roman"/>
        </w:rPr>
        <w:t>système d’énergie</w:t>
      </w:r>
      <w:r w:rsidR="00BD390C" w:rsidRPr="6B0818EF">
        <w:rPr>
          <w:rFonts w:ascii="Times New Roman" w:hAnsi="Times New Roman" w:cs="Times New Roman"/>
        </w:rPr>
        <w:t xml:space="preserve"> </w:t>
      </w:r>
      <w:r w:rsidR="00311964" w:rsidRPr="6B0818EF">
        <w:rPr>
          <w:rFonts w:ascii="Times New Roman" w:hAnsi="Times New Roman" w:cs="Times New Roman"/>
        </w:rPr>
        <w:t>permet</w:t>
      </w:r>
      <w:r w:rsidRPr="6B0818EF">
        <w:rPr>
          <w:rFonts w:ascii="Times New Roman" w:hAnsi="Times New Roman" w:cs="Times New Roman"/>
        </w:rPr>
        <w:t>tra</w:t>
      </w:r>
      <w:r w:rsidR="00BD390C" w:rsidRPr="6B0818EF">
        <w:rPr>
          <w:rFonts w:ascii="Times New Roman" w:hAnsi="Times New Roman" w:cs="Times New Roman"/>
        </w:rPr>
        <w:t xml:space="preserve"> </w:t>
      </w:r>
      <w:r w:rsidR="00241C43" w:rsidRPr="6B0818EF">
        <w:rPr>
          <w:rFonts w:ascii="Times New Roman" w:hAnsi="Times New Roman" w:cs="Times New Roman"/>
        </w:rPr>
        <w:t>de mieux comprendre tous les aspects</w:t>
      </w:r>
      <w:r w:rsidR="00311964" w:rsidRPr="6B0818EF">
        <w:rPr>
          <w:rFonts w:ascii="Times New Roman" w:hAnsi="Times New Roman" w:cs="Times New Roman"/>
        </w:rPr>
        <w:t xml:space="preserve"> </w:t>
      </w:r>
      <w:r w:rsidR="00496929" w:rsidRPr="6B0818EF">
        <w:rPr>
          <w:rFonts w:ascii="Times New Roman" w:hAnsi="Times New Roman" w:cs="Times New Roman"/>
        </w:rPr>
        <w:t xml:space="preserve">qui agissent sur </w:t>
      </w:r>
      <w:r w:rsidR="006643EC" w:rsidRPr="6B0818EF">
        <w:rPr>
          <w:rFonts w:ascii="Times New Roman" w:hAnsi="Times New Roman" w:cs="Times New Roman"/>
        </w:rPr>
        <w:t>l</w:t>
      </w:r>
      <w:r w:rsidR="00241C43" w:rsidRPr="6B0818EF">
        <w:rPr>
          <w:rFonts w:ascii="Times New Roman" w:hAnsi="Times New Roman" w:cs="Times New Roman"/>
        </w:rPr>
        <w:t>es</w:t>
      </w:r>
      <w:r w:rsidR="00311964" w:rsidRPr="6B0818EF">
        <w:rPr>
          <w:rFonts w:ascii="Times New Roman" w:hAnsi="Times New Roman" w:cs="Times New Roman"/>
        </w:rPr>
        <w:t xml:space="preserve"> mix énergétique</w:t>
      </w:r>
      <w:r w:rsidR="00241C43" w:rsidRPr="6B0818EF">
        <w:rPr>
          <w:rFonts w:ascii="Times New Roman" w:hAnsi="Times New Roman" w:cs="Times New Roman"/>
        </w:rPr>
        <w:t>s</w:t>
      </w:r>
      <w:r w:rsidR="006643EC" w:rsidRPr="6B0818EF">
        <w:rPr>
          <w:rFonts w:ascii="Times New Roman" w:hAnsi="Times New Roman" w:cs="Times New Roman"/>
        </w:rPr>
        <w:t xml:space="preserve"> </w:t>
      </w:r>
      <w:r w:rsidR="00496929" w:rsidRPr="6B0818EF">
        <w:rPr>
          <w:rFonts w:ascii="Times New Roman" w:hAnsi="Times New Roman" w:cs="Times New Roman"/>
        </w:rPr>
        <w:t>dans les</w:t>
      </w:r>
      <w:r w:rsidR="006643EC" w:rsidRPr="6B0818EF">
        <w:rPr>
          <w:rFonts w:ascii="Times New Roman" w:hAnsi="Times New Roman" w:cs="Times New Roman"/>
        </w:rPr>
        <w:t xml:space="preserve"> sociétés</w:t>
      </w:r>
      <w:r w:rsidR="25E551B4" w:rsidRPr="6B0818EF">
        <w:rPr>
          <w:rFonts w:ascii="Times New Roman" w:hAnsi="Times New Roman" w:cs="Times New Roman"/>
        </w:rPr>
        <w:t xml:space="preserve"> </w:t>
      </w:r>
      <w:r w:rsidR="5B9467CB" w:rsidRPr="6B0818EF">
        <w:rPr>
          <w:rFonts w:ascii="Times New Roman" w:hAnsi="Times New Roman" w:cs="Times New Roman"/>
        </w:rPr>
        <w:t>(</w:t>
      </w:r>
      <w:proofErr w:type="spellStart"/>
      <w:r w:rsidR="5B9467CB" w:rsidRPr="6B0818EF">
        <w:rPr>
          <w:rFonts w:ascii="Times New Roman" w:hAnsi="Times New Roman" w:cs="Times New Roman"/>
        </w:rPr>
        <w:t>Virgili</w:t>
      </w:r>
      <w:proofErr w:type="spellEnd"/>
      <w:r w:rsidR="5B9467CB" w:rsidRPr="6B0818EF">
        <w:rPr>
          <w:rFonts w:ascii="Times New Roman" w:hAnsi="Times New Roman" w:cs="Times New Roman"/>
        </w:rPr>
        <w:t xml:space="preserve">, Mathis, </w:t>
      </w:r>
      <w:proofErr w:type="spellStart"/>
      <w:r w:rsidR="5B9467CB" w:rsidRPr="6B0818EF">
        <w:rPr>
          <w:rFonts w:ascii="Times New Roman" w:hAnsi="Times New Roman" w:cs="Times New Roman"/>
        </w:rPr>
        <w:t>Williot</w:t>
      </w:r>
      <w:proofErr w:type="spellEnd"/>
      <w:r w:rsidR="5B9467CB" w:rsidRPr="6B0818EF">
        <w:rPr>
          <w:rFonts w:ascii="Times New Roman" w:hAnsi="Times New Roman" w:cs="Times New Roman"/>
        </w:rPr>
        <w:t>, 2021)</w:t>
      </w:r>
      <w:r w:rsidR="00241C43" w:rsidRPr="6B0818EF">
        <w:rPr>
          <w:rFonts w:ascii="Times New Roman" w:hAnsi="Times New Roman" w:cs="Times New Roman"/>
        </w:rPr>
        <w:t>.</w:t>
      </w:r>
    </w:p>
    <w:p w14:paraId="3F0718EA" w14:textId="3A9293CA" w:rsidR="00153887" w:rsidRDefault="21E88187" w:rsidP="0090520E">
      <w:pPr>
        <w:spacing w:line="276" w:lineRule="auto"/>
        <w:jc w:val="both"/>
        <w:rPr>
          <w:rFonts w:ascii="Times New Roman" w:hAnsi="Times New Roman" w:cs="Times New Roman"/>
        </w:rPr>
      </w:pPr>
      <w:r w:rsidRPr="6AFA7E40">
        <w:rPr>
          <w:rFonts w:ascii="Times New Roman" w:hAnsi="Times New Roman" w:cs="Times New Roman"/>
          <w:color w:val="000000" w:themeColor="text1"/>
        </w:rPr>
        <w:t>Sur le plan culturel, il es</w:t>
      </w:r>
      <w:r w:rsidR="0C63113E" w:rsidRPr="6AFA7E40">
        <w:rPr>
          <w:rFonts w:ascii="Times New Roman" w:hAnsi="Times New Roman" w:cs="Times New Roman"/>
          <w:color w:val="000000" w:themeColor="text1"/>
        </w:rPr>
        <w:t>t</w:t>
      </w:r>
      <w:r w:rsidRPr="6AFA7E40">
        <w:rPr>
          <w:rFonts w:ascii="Times New Roman" w:hAnsi="Times New Roman" w:cs="Times New Roman"/>
          <w:color w:val="000000" w:themeColor="text1"/>
        </w:rPr>
        <w:t xml:space="preserve"> </w:t>
      </w:r>
      <w:r w:rsidR="0C63113E" w:rsidRPr="6AFA7E40">
        <w:rPr>
          <w:rFonts w:ascii="Times New Roman" w:hAnsi="Times New Roman" w:cs="Times New Roman"/>
          <w:color w:val="000000" w:themeColor="text1"/>
        </w:rPr>
        <w:t xml:space="preserve">donc </w:t>
      </w:r>
      <w:r w:rsidR="759F784C" w:rsidRPr="6AFA7E40">
        <w:rPr>
          <w:rFonts w:ascii="Times New Roman" w:hAnsi="Times New Roman" w:cs="Times New Roman"/>
          <w:color w:val="000000" w:themeColor="text1"/>
        </w:rPr>
        <w:t>important</w:t>
      </w:r>
      <w:r w:rsidRPr="6AFA7E40">
        <w:rPr>
          <w:rFonts w:ascii="Times New Roman" w:hAnsi="Times New Roman" w:cs="Times New Roman"/>
          <w:color w:val="000000" w:themeColor="text1"/>
        </w:rPr>
        <w:t xml:space="preserve"> de prendre en compte la perception de l’usage de l’énergie par les consommateurs</w:t>
      </w:r>
      <w:r w:rsidR="37A5E43D" w:rsidRPr="6AFA7E40">
        <w:rPr>
          <w:rFonts w:ascii="Times New Roman" w:hAnsi="Times New Roman" w:cs="Times New Roman"/>
          <w:color w:val="000000" w:themeColor="text1"/>
        </w:rPr>
        <w:t xml:space="preserve"> et les consomma</w:t>
      </w:r>
      <w:r w:rsidR="0C63113E" w:rsidRPr="6AFA7E40">
        <w:rPr>
          <w:rFonts w:ascii="Times New Roman" w:hAnsi="Times New Roman" w:cs="Times New Roman"/>
          <w:color w:val="000000" w:themeColor="text1"/>
        </w:rPr>
        <w:t>trices</w:t>
      </w:r>
      <w:r w:rsidRPr="6AFA7E40">
        <w:rPr>
          <w:rFonts w:ascii="Times New Roman" w:hAnsi="Times New Roman" w:cs="Times New Roman"/>
          <w:color w:val="000000" w:themeColor="text1"/>
        </w:rPr>
        <w:t> :</w:t>
      </w:r>
      <w:r w:rsidR="7E11AC93" w:rsidRPr="6AFA7E40">
        <w:rPr>
          <w:rFonts w:ascii="Times New Roman" w:hAnsi="Times New Roman" w:cs="Times New Roman"/>
          <w:color w:val="000000" w:themeColor="text1"/>
        </w:rPr>
        <w:t xml:space="preserve"> </w:t>
      </w:r>
      <w:r w:rsidRPr="6AFA7E40">
        <w:rPr>
          <w:rFonts w:ascii="Times New Roman" w:hAnsi="Times New Roman" w:cs="Times New Roman"/>
          <w:color w:val="000000" w:themeColor="text1"/>
        </w:rPr>
        <w:t xml:space="preserve">l’énergie </w:t>
      </w:r>
      <w:r w:rsidR="7E11AC93" w:rsidRPr="6AFA7E40">
        <w:rPr>
          <w:rFonts w:ascii="Times New Roman" w:hAnsi="Times New Roman" w:cs="Times New Roman"/>
          <w:color w:val="000000" w:themeColor="text1"/>
        </w:rPr>
        <w:t>a été</w:t>
      </w:r>
      <w:r w:rsidRPr="6AFA7E40">
        <w:rPr>
          <w:rFonts w:ascii="Times New Roman" w:hAnsi="Times New Roman" w:cs="Times New Roman"/>
          <w:color w:val="000000" w:themeColor="text1"/>
        </w:rPr>
        <w:t xml:space="preserve"> </w:t>
      </w:r>
      <w:r w:rsidR="7E11AC93" w:rsidRPr="6AFA7E40">
        <w:rPr>
          <w:rFonts w:ascii="Times New Roman" w:hAnsi="Times New Roman" w:cs="Times New Roman"/>
          <w:color w:val="000000" w:themeColor="text1"/>
        </w:rPr>
        <w:t xml:space="preserve">perçue pendant longtemps </w:t>
      </w:r>
      <w:r w:rsidRPr="6AFA7E40">
        <w:rPr>
          <w:rFonts w:ascii="Times New Roman" w:hAnsi="Times New Roman" w:cs="Times New Roman"/>
          <w:color w:val="000000" w:themeColor="text1"/>
        </w:rPr>
        <w:t xml:space="preserve">à travers </w:t>
      </w:r>
      <w:r w:rsidR="19CEF5C0" w:rsidRPr="6AFA7E40">
        <w:rPr>
          <w:rFonts w:ascii="Times New Roman" w:hAnsi="Times New Roman" w:cs="Times New Roman"/>
          <w:color w:val="000000" w:themeColor="text1"/>
        </w:rPr>
        <w:t>s</w:t>
      </w:r>
      <w:r w:rsidRPr="6AFA7E40">
        <w:rPr>
          <w:rFonts w:ascii="Times New Roman" w:hAnsi="Times New Roman" w:cs="Times New Roman"/>
          <w:color w:val="000000" w:themeColor="text1"/>
        </w:rPr>
        <w:t xml:space="preserve">es usages ou </w:t>
      </w:r>
      <w:r w:rsidR="19CEF5C0" w:rsidRPr="6AFA7E40">
        <w:rPr>
          <w:rFonts w:ascii="Times New Roman" w:hAnsi="Times New Roman" w:cs="Times New Roman"/>
          <w:color w:val="000000" w:themeColor="text1"/>
        </w:rPr>
        <w:t>s</w:t>
      </w:r>
      <w:r w:rsidRPr="6AFA7E40">
        <w:rPr>
          <w:rFonts w:ascii="Times New Roman" w:hAnsi="Times New Roman" w:cs="Times New Roman"/>
          <w:color w:val="000000" w:themeColor="text1"/>
        </w:rPr>
        <w:t xml:space="preserve">es modes de </w:t>
      </w:r>
      <w:r w:rsidR="7E11AC93" w:rsidRPr="6AFA7E40">
        <w:rPr>
          <w:rFonts w:ascii="Times New Roman" w:hAnsi="Times New Roman" w:cs="Times New Roman"/>
          <w:color w:val="000000" w:themeColor="text1"/>
        </w:rPr>
        <w:t>consommation</w:t>
      </w:r>
      <w:r w:rsidR="19CEF5C0" w:rsidRPr="6AFA7E40">
        <w:rPr>
          <w:rFonts w:ascii="Times New Roman" w:hAnsi="Times New Roman" w:cs="Times New Roman"/>
          <w:color w:val="000000" w:themeColor="text1"/>
        </w:rPr>
        <w:t xml:space="preserve">. </w:t>
      </w:r>
      <w:r w:rsidRPr="6AFA7E40">
        <w:rPr>
          <w:rFonts w:ascii="Times New Roman" w:hAnsi="Times New Roman" w:cs="Times New Roman"/>
          <w:color w:val="000000" w:themeColor="text1"/>
        </w:rPr>
        <w:t>Cette diffusion</w:t>
      </w:r>
      <w:r w:rsidR="19CEF5C0" w:rsidRPr="6AFA7E40">
        <w:rPr>
          <w:rFonts w:ascii="Times New Roman" w:hAnsi="Times New Roman" w:cs="Times New Roman"/>
          <w:color w:val="000000" w:themeColor="text1"/>
        </w:rPr>
        <w:t xml:space="preserve"> de l’énergie</w:t>
      </w:r>
      <w:r w:rsidRPr="6AFA7E40">
        <w:rPr>
          <w:rFonts w:ascii="Times New Roman" w:hAnsi="Times New Roman" w:cs="Times New Roman"/>
          <w:color w:val="000000" w:themeColor="text1"/>
        </w:rPr>
        <w:t xml:space="preserve"> à grande échelle a nécessité la mise en place de réseaux de distribution apportant un service </w:t>
      </w:r>
      <w:r w:rsidR="19CEF5C0" w:rsidRPr="6AFA7E40">
        <w:rPr>
          <w:rFonts w:ascii="Times New Roman" w:hAnsi="Times New Roman" w:cs="Times New Roman"/>
          <w:color w:val="000000" w:themeColor="text1"/>
        </w:rPr>
        <w:t xml:space="preserve">de proximité </w:t>
      </w:r>
      <w:r w:rsidR="79FD53E6" w:rsidRPr="6AFA7E40">
        <w:rPr>
          <w:rFonts w:ascii="Times New Roman" w:hAnsi="Times New Roman" w:cs="Times New Roman"/>
          <w:color w:val="000000" w:themeColor="text1"/>
        </w:rPr>
        <w:t>attractif pour les</w:t>
      </w:r>
      <w:r w:rsidR="19CEF5C0" w:rsidRPr="6AFA7E40">
        <w:rPr>
          <w:rFonts w:ascii="Times New Roman" w:hAnsi="Times New Roman" w:cs="Times New Roman"/>
          <w:color w:val="000000" w:themeColor="text1"/>
        </w:rPr>
        <w:t xml:space="preserve"> usagers. Pour la voiture, par exemple, </w:t>
      </w:r>
      <w:r w:rsidR="524D2390" w:rsidRPr="6AFA7E40">
        <w:rPr>
          <w:rFonts w:ascii="Times New Roman" w:hAnsi="Times New Roman" w:cs="Times New Roman"/>
          <w:color w:val="000000" w:themeColor="text1"/>
        </w:rPr>
        <w:t xml:space="preserve">l’accroissement de la </w:t>
      </w:r>
      <w:r w:rsidR="759F784C" w:rsidRPr="6AFA7E40">
        <w:rPr>
          <w:rFonts w:ascii="Times New Roman" w:hAnsi="Times New Roman" w:cs="Times New Roman"/>
          <w:color w:val="000000" w:themeColor="text1"/>
        </w:rPr>
        <w:t>charge</w:t>
      </w:r>
      <w:r w:rsidR="524D2390" w:rsidRPr="6AFA7E40">
        <w:rPr>
          <w:rFonts w:ascii="Times New Roman" w:hAnsi="Times New Roman" w:cs="Times New Roman"/>
          <w:color w:val="000000" w:themeColor="text1"/>
        </w:rPr>
        <w:t xml:space="preserve"> </w:t>
      </w:r>
      <w:r w:rsidR="524D2390" w:rsidRPr="6AFA7E40">
        <w:rPr>
          <w:rFonts w:ascii="Times New Roman" w:hAnsi="Times New Roman" w:cs="Times New Roman"/>
          <w:color w:val="000000" w:themeColor="text1"/>
        </w:rPr>
        <w:lastRenderedPageBreak/>
        <w:t>du carburant dans le budget familial</w:t>
      </w:r>
      <w:r w:rsidR="19CEF5C0" w:rsidRPr="6AFA7E40">
        <w:rPr>
          <w:rFonts w:ascii="Times New Roman" w:hAnsi="Times New Roman" w:cs="Times New Roman"/>
          <w:color w:val="000000" w:themeColor="text1"/>
        </w:rPr>
        <w:t xml:space="preserve"> a fini par</w:t>
      </w:r>
      <w:r w:rsidR="524D2390" w:rsidRPr="6AFA7E40">
        <w:rPr>
          <w:rFonts w:ascii="Times New Roman" w:hAnsi="Times New Roman" w:cs="Times New Roman"/>
          <w:color w:val="000000" w:themeColor="text1"/>
        </w:rPr>
        <w:t xml:space="preserve"> contrebala</w:t>
      </w:r>
      <w:r w:rsidR="19CEF5C0" w:rsidRPr="6AFA7E40">
        <w:rPr>
          <w:rFonts w:ascii="Times New Roman" w:hAnsi="Times New Roman" w:cs="Times New Roman"/>
          <w:color w:val="000000" w:themeColor="text1"/>
        </w:rPr>
        <w:t>ncer</w:t>
      </w:r>
      <w:r w:rsidR="524D2390" w:rsidRPr="6AFA7E40">
        <w:rPr>
          <w:rFonts w:ascii="Times New Roman" w:hAnsi="Times New Roman" w:cs="Times New Roman"/>
          <w:color w:val="000000" w:themeColor="text1"/>
        </w:rPr>
        <w:t xml:space="preserve"> l’agrément apporté</w:t>
      </w:r>
      <w:r w:rsidR="19CEF5C0" w:rsidRPr="6AFA7E40">
        <w:rPr>
          <w:rFonts w:ascii="Times New Roman" w:hAnsi="Times New Roman" w:cs="Times New Roman"/>
          <w:color w:val="000000" w:themeColor="text1"/>
        </w:rPr>
        <w:t xml:space="preserve"> et </w:t>
      </w:r>
      <w:r w:rsidR="524D2390" w:rsidRPr="6AFA7E40">
        <w:rPr>
          <w:rFonts w:ascii="Times New Roman" w:hAnsi="Times New Roman" w:cs="Times New Roman"/>
          <w:color w:val="000000" w:themeColor="text1"/>
        </w:rPr>
        <w:t xml:space="preserve">amené </w:t>
      </w:r>
      <w:r w:rsidR="19CEF5C0" w:rsidRPr="6AFA7E40">
        <w:rPr>
          <w:rFonts w:ascii="Times New Roman" w:hAnsi="Times New Roman" w:cs="Times New Roman"/>
          <w:color w:val="000000" w:themeColor="text1"/>
        </w:rPr>
        <w:t>le consommateur</w:t>
      </w:r>
      <w:r w:rsidR="524D2390" w:rsidRPr="6AFA7E40">
        <w:rPr>
          <w:rFonts w:ascii="Times New Roman" w:hAnsi="Times New Roman" w:cs="Times New Roman"/>
          <w:color w:val="000000" w:themeColor="text1"/>
        </w:rPr>
        <w:t xml:space="preserve"> à </w:t>
      </w:r>
      <w:r w:rsidR="524D2390" w:rsidRPr="6AFA7E40">
        <w:rPr>
          <w:rFonts w:ascii="Times New Roman" w:hAnsi="Times New Roman" w:cs="Times New Roman"/>
        </w:rPr>
        <w:t>raisonner son usage.</w:t>
      </w:r>
      <w:r w:rsidR="759F784C" w:rsidRPr="6AFA7E40">
        <w:rPr>
          <w:rFonts w:ascii="Times New Roman" w:hAnsi="Times New Roman" w:cs="Times New Roman"/>
        </w:rPr>
        <w:t xml:space="preserve"> </w:t>
      </w:r>
      <w:r w:rsidR="524D2390" w:rsidRPr="6AFA7E40">
        <w:rPr>
          <w:rFonts w:ascii="Times New Roman" w:hAnsi="Times New Roman" w:cs="Times New Roman"/>
        </w:rPr>
        <w:t>Ainsi l</w:t>
      </w:r>
      <w:r w:rsidR="624D4AC6" w:rsidRPr="6AFA7E40">
        <w:rPr>
          <w:rFonts w:ascii="Times New Roman" w:hAnsi="Times New Roman" w:cs="Times New Roman"/>
        </w:rPr>
        <w:t xml:space="preserve">’histoire de la précarité énergétique </w:t>
      </w:r>
      <w:r w:rsidR="1A58028B" w:rsidRPr="6AFA7E40">
        <w:rPr>
          <w:rFonts w:ascii="Times New Roman" w:hAnsi="Times New Roman" w:cs="Times New Roman"/>
        </w:rPr>
        <w:t>a</w:t>
      </w:r>
      <w:r w:rsidR="524D2390" w:rsidRPr="6AFA7E40">
        <w:rPr>
          <w:rFonts w:ascii="Times New Roman" w:hAnsi="Times New Roman" w:cs="Times New Roman"/>
        </w:rPr>
        <w:t>-t</w:t>
      </w:r>
      <w:r w:rsidR="7752D83E" w:rsidRPr="6AFA7E40">
        <w:rPr>
          <w:rFonts w:ascii="Times New Roman" w:hAnsi="Times New Roman" w:cs="Times New Roman"/>
        </w:rPr>
        <w:t>-</w:t>
      </w:r>
      <w:r w:rsidR="524D2390" w:rsidRPr="6AFA7E40">
        <w:rPr>
          <w:rFonts w:ascii="Times New Roman" w:hAnsi="Times New Roman" w:cs="Times New Roman"/>
        </w:rPr>
        <w:t>elle</w:t>
      </w:r>
      <w:r w:rsidR="1A58028B" w:rsidRPr="6AFA7E40">
        <w:rPr>
          <w:rFonts w:ascii="Times New Roman" w:hAnsi="Times New Roman" w:cs="Times New Roman"/>
        </w:rPr>
        <w:t xml:space="preserve"> également toute sa place</w:t>
      </w:r>
      <w:r w:rsidR="34805CDD" w:rsidRPr="6AFA7E40">
        <w:rPr>
          <w:rFonts w:ascii="Times New Roman" w:hAnsi="Times New Roman" w:cs="Times New Roman"/>
        </w:rPr>
        <w:t xml:space="preserve"> </w:t>
      </w:r>
      <w:r w:rsidR="1A58028B" w:rsidRPr="6AFA7E40">
        <w:rPr>
          <w:rFonts w:ascii="Times New Roman" w:hAnsi="Times New Roman" w:cs="Times New Roman"/>
        </w:rPr>
        <w:t xml:space="preserve">dans cet axe d’étude. S’intéresser à cette question </w:t>
      </w:r>
      <w:r w:rsidR="34805CDD" w:rsidRPr="6AFA7E40">
        <w:rPr>
          <w:rFonts w:ascii="Times New Roman" w:hAnsi="Times New Roman" w:cs="Times New Roman"/>
        </w:rPr>
        <w:t>permet d’appréhender</w:t>
      </w:r>
      <w:r w:rsidR="624D4AC6" w:rsidRPr="6AFA7E40">
        <w:rPr>
          <w:rFonts w:ascii="Times New Roman" w:hAnsi="Times New Roman" w:cs="Times New Roman"/>
        </w:rPr>
        <w:t xml:space="preserve"> à quel moment </w:t>
      </w:r>
      <w:r w:rsidR="79FD53E6" w:rsidRPr="6AFA7E40">
        <w:rPr>
          <w:rFonts w:ascii="Times New Roman" w:hAnsi="Times New Roman" w:cs="Times New Roman"/>
        </w:rPr>
        <w:t xml:space="preserve">et sous quelles conditions </w:t>
      </w:r>
      <w:r w:rsidR="624D4AC6" w:rsidRPr="6AFA7E40">
        <w:rPr>
          <w:rFonts w:ascii="Times New Roman" w:hAnsi="Times New Roman" w:cs="Times New Roman"/>
        </w:rPr>
        <w:t xml:space="preserve">on fournit de l’énergie en considérant qu’il s’agit d’un bien nécessaire dans une société </w:t>
      </w:r>
      <w:r w:rsidR="34805CDD" w:rsidRPr="6AFA7E40">
        <w:rPr>
          <w:rFonts w:ascii="Times New Roman" w:hAnsi="Times New Roman" w:cs="Times New Roman"/>
        </w:rPr>
        <w:t xml:space="preserve">et </w:t>
      </w:r>
      <w:r w:rsidR="1A58028B" w:rsidRPr="6AFA7E40">
        <w:rPr>
          <w:rFonts w:ascii="Times New Roman" w:hAnsi="Times New Roman" w:cs="Times New Roman"/>
        </w:rPr>
        <w:t>ouvre</w:t>
      </w:r>
      <w:r w:rsidR="34805CDD" w:rsidRPr="6AFA7E40">
        <w:rPr>
          <w:rFonts w:ascii="Times New Roman" w:hAnsi="Times New Roman" w:cs="Times New Roman"/>
        </w:rPr>
        <w:t xml:space="preserve"> sur la question actuelle des transitions énergétiques pour les personnes qui n’ont pas les moyens</w:t>
      </w:r>
      <w:r w:rsidR="60F0D557" w:rsidRPr="6AFA7E40">
        <w:rPr>
          <w:rFonts w:ascii="Times New Roman" w:hAnsi="Times New Roman" w:cs="Times New Roman"/>
        </w:rPr>
        <w:t xml:space="preserve"> </w:t>
      </w:r>
      <w:r w:rsidR="34805CDD" w:rsidRPr="6AFA7E40">
        <w:rPr>
          <w:rFonts w:ascii="Times New Roman" w:hAnsi="Times New Roman" w:cs="Times New Roman"/>
        </w:rPr>
        <w:t>finan</w:t>
      </w:r>
      <w:r w:rsidR="60F0D557" w:rsidRPr="6AFA7E40">
        <w:rPr>
          <w:rFonts w:ascii="Times New Roman" w:hAnsi="Times New Roman" w:cs="Times New Roman"/>
        </w:rPr>
        <w:t>ciers d’y faire face</w:t>
      </w:r>
      <w:r w:rsidR="34805CDD" w:rsidRPr="6AFA7E40">
        <w:rPr>
          <w:rFonts w:ascii="Times New Roman" w:hAnsi="Times New Roman" w:cs="Times New Roman"/>
        </w:rPr>
        <w:t>.</w:t>
      </w:r>
      <w:r w:rsidR="624D4AC6" w:rsidRPr="6AFA7E40">
        <w:rPr>
          <w:rFonts w:ascii="Times New Roman" w:hAnsi="Times New Roman" w:cs="Times New Roman"/>
        </w:rPr>
        <w:t> </w:t>
      </w:r>
    </w:p>
    <w:p w14:paraId="01E5EDD4" w14:textId="6CE18C2B" w:rsidR="00FF3A2F" w:rsidRDefault="00FF3A2F" w:rsidP="002E05AA">
      <w:pPr>
        <w:jc w:val="both"/>
        <w:rPr>
          <w:rFonts w:ascii="Times New Roman" w:hAnsi="Times New Roman" w:cs="Times New Roman"/>
        </w:rPr>
      </w:pPr>
    </w:p>
    <w:p w14:paraId="1CE404A7" w14:textId="7AAFE18E" w:rsidR="00B502A9" w:rsidRDefault="00B502A9" w:rsidP="002D1DA0">
      <w:pPr>
        <w:jc w:val="both"/>
        <w:rPr>
          <w:rFonts w:ascii="Times New Roman" w:hAnsi="Times New Roman" w:cs="Times New Roman"/>
          <w:b/>
          <w:bCs/>
        </w:rPr>
      </w:pPr>
      <w:r w:rsidRPr="00403035">
        <w:rPr>
          <w:rFonts w:ascii="Times New Roman" w:hAnsi="Times New Roman" w:cs="Times New Roman"/>
          <w:b/>
          <w:bCs/>
        </w:rPr>
        <w:t xml:space="preserve">Axe 3 : </w:t>
      </w:r>
      <w:r w:rsidR="00CF44CF">
        <w:rPr>
          <w:rFonts w:ascii="Times New Roman" w:hAnsi="Times New Roman" w:cs="Times New Roman"/>
          <w:b/>
          <w:bCs/>
        </w:rPr>
        <w:t xml:space="preserve">la place des </w:t>
      </w:r>
      <w:r w:rsidRPr="00403035">
        <w:rPr>
          <w:rFonts w:ascii="Times New Roman" w:hAnsi="Times New Roman" w:cs="Times New Roman"/>
          <w:b/>
          <w:bCs/>
        </w:rPr>
        <w:t xml:space="preserve">politiques publiques </w:t>
      </w:r>
    </w:p>
    <w:p w14:paraId="6DF04E99" w14:textId="37042A76" w:rsidR="004A12A5" w:rsidRDefault="004A12A5" w:rsidP="002D1DA0">
      <w:pPr>
        <w:jc w:val="both"/>
        <w:rPr>
          <w:rFonts w:ascii="Times New Roman" w:hAnsi="Times New Roman" w:cs="Times New Roman"/>
          <w:b/>
          <w:bCs/>
        </w:rPr>
      </w:pPr>
    </w:p>
    <w:p w14:paraId="2E2CB2C5" w14:textId="385A08AD" w:rsidR="4E5A2988" w:rsidRDefault="6F562146" w:rsidP="1148783E">
      <w:pPr>
        <w:spacing w:line="276" w:lineRule="auto"/>
        <w:jc w:val="both"/>
        <w:rPr>
          <w:rFonts w:ascii="Times New Roman" w:hAnsi="Times New Roman" w:cs="Times New Roman"/>
        </w:rPr>
      </w:pPr>
      <w:r w:rsidRPr="1148783E">
        <w:rPr>
          <w:rFonts w:ascii="Times New Roman" w:hAnsi="Times New Roman" w:cs="Times New Roman"/>
        </w:rPr>
        <w:t xml:space="preserve">S’il est un domaine </w:t>
      </w:r>
      <w:r w:rsidR="2F3232F3" w:rsidRPr="1148783E">
        <w:rPr>
          <w:rFonts w:ascii="Times New Roman" w:hAnsi="Times New Roman" w:cs="Times New Roman"/>
        </w:rPr>
        <w:t xml:space="preserve">pour </w:t>
      </w:r>
      <w:r w:rsidRPr="1148783E">
        <w:rPr>
          <w:rFonts w:ascii="Times New Roman" w:hAnsi="Times New Roman" w:cs="Times New Roman"/>
        </w:rPr>
        <w:t>lequel les études des transitions</w:t>
      </w:r>
      <w:r w:rsidR="37A6F436" w:rsidRPr="1148783E">
        <w:rPr>
          <w:rFonts w:ascii="Times New Roman" w:hAnsi="Times New Roman" w:cs="Times New Roman"/>
        </w:rPr>
        <w:t xml:space="preserve"> énergétiques</w:t>
      </w:r>
      <w:r w:rsidRPr="1148783E">
        <w:rPr>
          <w:rFonts w:ascii="Times New Roman" w:hAnsi="Times New Roman" w:cs="Times New Roman"/>
        </w:rPr>
        <w:t xml:space="preserve"> ont suscité le plus d’engouement, c’est bien celui des politiques publiques, tant la notion a été reprise, portée, utilisée</w:t>
      </w:r>
      <w:r w:rsidR="43E15D87" w:rsidRPr="1148783E">
        <w:rPr>
          <w:rFonts w:ascii="Times New Roman" w:hAnsi="Times New Roman" w:cs="Times New Roman"/>
        </w:rPr>
        <w:t xml:space="preserve"> à toutes les échelles</w:t>
      </w:r>
      <w:r w:rsidR="74F76E2E" w:rsidRPr="1148783E">
        <w:rPr>
          <w:rFonts w:ascii="Times New Roman" w:hAnsi="Times New Roman" w:cs="Times New Roman"/>
        </w:rPr>
        <w:t xml:space="preserve"> de l’action publique.</w:t>
      </w:r>
      <w:r w:rsidR="43E15D87" w:rsidRPr="1148783E">
        <w:rPr>
          <w:rFonts w:ascii="Times New Roman" w:hAnsi="Times New Roman" w:cs="Times New Roman"/>
        </w:rPr>
        <w:t xml:space="preserve"> </w:t>
      </w:r>
      <w:r w:rsidR="4FC3C35D" w:rsidRPr="1148783E">
        <w:rPr>
          <w:rFonts w:ascii="Times New Roman" w:hAnsi="Times New Roman" w:cs="Times New Roman"/>
        </w:rPr>
        <w:t xml:space="preserve"> </w:t>
      </w:r>
      <w:r w:rsidR="45161269" w:rsidRPr="1148783E">
        <w:rPr>
          <w:rFonts w:ascii="Times New Roman" w:hAnsi="Times New Roman" w:cs="Times New Roman"/>
        </w:rPr>
        <w:t xml:space="preserve">L’objectif de ce thème, pour ce colloque, est de redonner une dimension historique aux </w:t>
      </w:r>
      <w:r w:rsidR="4FC3C35D" w:rsidRPr="1148783E">
        <w:rPr>
          <w:rFonts w:ascii="Times New Roman" w:hAnsi="Times New Roman" w:cs="Times New Roman"/>
        </w:rPr>
        <w:t>interventions de l’</w:t>
      </w:r>
      <w:r w:rsidR="6A940225" w:rsidRPr="1BB97A05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É</w:t>
      </w:r>
      <w:r w:rsidR="4FC3C35D" w:rsidRPr="005B4353">
        <w:rPr>
          <w:rFonts w:ascii="Times New Roman" w:hAnsi="Times New Roman" w:cs="Times New Roman"/>
        </w:rPr>
        <w:t>tat</w:t>
      </w:r>
      <w:r w:rsidR="59C05D6D" w:rsidRPr="1148783E">
        <w:rPr>
          <w:rFonts w:ascii="Times New Roman" w:hAnsi="Times New Roman" w:cs="Times New Roman"/>
        </w:rPr>
        <w:t>, mais également des s</w:t>
      </w:r>
      <w:r w:rsidR="639A162B" w:rsidRPr="1148783E">
        <w:rPr>
          <w:rFonts w:ascii="Times New Roman" w:hAnsi="Times New Roman" w:cs="Times New Roman"/>
        </w:rPr>
        <w:t>tructures territoriales</w:t>
      </w:r>
      <w:r w:rsidR="59C05D6D" w:rsidRPr="1148783E">
        <w:rPr>
          <w:rFonts w:ascii="Times New Roman" w:hAnsi="Times New Roman" w:cs="Times New Roman"/>
        </w:rPr>
        <w:t xml:space="preserve"> et des organisations </w:t>
      </w:r>
      <w:r w:rsidR="6A940225" w:rsidRPr="1148783E">
        <w:rPr>
          <w:rFonts w:ascii="Times New Roman" w:hAnsi="Times New Roman" w:cs="Times New Roman"/>
        </w:rPr>
        <w:t>intergouvernementales.</w:t>
      </w:r>
      <w:r w:rsidR="3EF622C3" w:rsidRPr="1148783E">
        <w:rPr>
          <w:rFonts w:ascii="Times New Roman" w:hAnsi="Times New Roman" w:cs="Times New Roman"/>
        </w:rPr>
        <w:t xml:space="preserve"> En effet, les politiques publiques ont montré</w:t>
      </w:r>
      <w:r w:rsidR="17F37705" w:rsidRPr="1148783E">
        <w:rPr>
          <w:rFonts w:ascii="Times New Roman" w:hAnsi="Times New Roman" w:cs="Times New Roman"/>
        </w:rPr>
        <w:t>, dans la longue durée ou de façon plus immédiate,</w:t>
      </w:r>
      <w:r w:rsidR="3EF622C3" w:rsidRPr="1148783E">
        <w:rPr>
          <w:rFonts w:ascii="Times New Roman" w:hAnsi="Times New Roman" w:cs="Times New Roman"/>
        </w:rPr>
        <w:t xml:space="preserve"> qu’elles n’étaient pas neutres </w:t>
      </w:r>
      <w:r w:rsidR="2A3BF941" w:rsidRPr="1148783E">
        <w:rPr>
          <w:rFonts w:ascii="Times New Roman" w:hAnsi="Times New Roman" w:cs="Times New Roman"/>
        </w:rPr>
        <w:t xml:space="preserve">sur les questions énergétiques </w:t>
      </w:r>
      <w:r w:rsidR="3EF622C3" w:rsidRPr="1148783E">
        <w:rPr>
          <w:rFonts w:ascii="Times New Roman" w:hAnsi="Times New Roman" w:cs="Times New Roman"/>
        </w:rPr>
        <w:t>et</w:t>
      </w:r>
      <w:r w:rsidR="17F37705" w:rsidRPr="1148783E">
        <w:rPr>
          <w:rFonts w:ascii="Times New Roman" w:hAnsi="Times New Roman" w:cs="Times New Roman"/>
        </w:rPr>
        <w:t xml:space="preserve"> qu’elles</w:t>
      </w:r>
      <w:r w:rsidR="3EF622C3" w:rsidRPr="1148783E">
        <w:rPr>
          <w:rFonts w:ascii="Times New Roman" w:hAnsi="Times New Roman" w:cs="Times New Roman"/>
        </w:rPr>
        <w:t xml:space="preserve"> pouvaient se montrer très incitatives</w:t>
      </w:r>
      <w:r w:rsidR="2A3BF941" w:rsidRPr="1148783E">
        <w:rPr>
          <w:rFonts w:ascii="Times New Roman" w:hAnsi="Times New Roman" w:cs="Times New Roman"/>
        </w:rPr>
        <w:t xml:space="preserve"> ou inhibitrices</w:t>
      </w:r>
      <w:r w:rsidR="3EF622C3" w:rsidRPr="1148783E">
        <w:rPr>
          <w:rFonts w:ascii="Times New Roman" w:hAnsi="Times New Roman" w:cs="Times New Roman"/>
        </w:rPr>
        <w:t xml:space="preserve"> </w:t>
      </w:r>
      <w:r w:rsidR="17F37705" w:rsidRPr="1148783E">
        <w:rPr>
          <w:rFonts w:ascii="Times New Roman" w:hAnsi="Times New Roman" w:cs="Times New Roman"/>
        </w:rPr>
        <w:t>de ces transitions</w:t>
      </w:r>
      <w:r w:rsidR="015B65F8" w:rsidRPr="1148783E">
        <w:rPr>
          <w:rFonts w:ascii="Times New Roman" w:hAnsi="Times New Roman" w:cs="Times New Roman"/>
        </w:rPr>
        <w:t xml:space="preserve"> et orienter les choix des usagers</w:t>
      </w:r>
      <w:r w:rsidR="2A3BF941" w:rsidRPr="1148783E">
        <w:rPr>
          <w:rFonts w:ascii="Times New Roman" w:hAnsi="Times New Roman" w:cs="Times New Roman"/>
        </w:rPr>
        <w:t xml:space="preserve">. </w:t>
      </w:r>
    </w:p>
    <w:p w14:paraId="1531C05C" w14:textId="6A278812" w:rsidR="003538FE" w:rsidRDefault="7D6BCC84" w:rsidP="00036342">
      <w:pPr>
        <w:spacing w:line="276" w:lineRule="auto"/>
        <w:jc w:val="both"/>
        <w:rPr>
          <w:rFonts w:ascii="Times New Roman" w:hAnsi="Times New Roman" w:cs="Times New Roman"/>
        </w:rPr>
      </w:pPr>
      <w:r w:rsidRPr="25196C12">
        <w:rPr>
          <w:rFonts w:ascii="Times New Roman" w:hAnsi="Times New Roman" w:cs="Times New Roman"/>
        </w:rPr>
        <w:t xml:space="preserve">Les autorités politiques ont cherché à orienter des productions et consommations énergétiques, par des politiques </w:t>
      </w:r>
      <w:r w:rsidR="44C1A7B7" w:rsidRPr="25196C12">
        <w:rPr>
          <w:rFonts w:ascii="Times New Roman" w:hAnsi="Times New Roman" w:cs="Times New Roman"/>
        </w:rPr>
        <w:t xml:space="preserve">fiscales </w:t>
      </w:r>
      <w:r w:rsidRPr="25196C12">
        <w:rPr>
          <w:rFonts w:ascii="Times New Roman" w:hAnsi="Times New Roman" w:cs="Times New Roman"/>
        </w:rPr>
        <w:t xml:space="preserve">incitatives, des cadres réglementaires, des </w:t>
      </w:r>
      <w:r w:rsidR="66EBBBB4" w:rsidRPr="25196C12">
        <w:rPr>
          <w:rFonts w:ascii="Times New Roman" w:hAnsi="Times New Roman" w:cs="Times New Roman"/>
        </w:rPr>
        <w:t xml:space="preserve">communications prescriptives. Le </w:t>
      </w:r>
      <w:r w:rsidR="2D00273A" w:rsidRPr="25196C12">
        <w:rPr>
          <w:rFonts w:ascii="Times New Roman" w:hAnsi="Times New Roman" w:cs="Times New Roman"/>
        </w:rPr>
        <w:t xml:space="preserve">cas de </w:t>
      </w:r>
      <w:r w:rsidR="7DDE68D0" w:rsidRPr="25196C12">
        <w:rPr>
          <w:rFonts w:ascii="Times New Roman" w:hAnsi="Times New Roman" w:cs="Times New Roman"/>
        </w:rPr>
        <w:t>Genève</w:t>
      </w:r>
      <w:r w:rsidR="2D00273A" w:rsidRPr="25196C12">
        <w:rPr>
          <w:rFonts w:ascii="Times New Roman" w:hAnsi="Times New Roman" w:cs="Times New Roman"/>
        </w:rPr>
        <w:t xml:space="preserve"> (</w:t>
      </w:r>
      <w:proofErr w:type="spellStart"/>
      <w:r w:rsidR="2D00273A" w:rsidRPr="25196C12">
        <w:rPr>
          <w:rFonts w:ascii="Times New Roman" w:hAnsi="Times New Roman" w:cs="Times New Roman"/>
        </w:rPr>
        <w:t>Paquier</w:t>
      </w:r>
      <w:proofErr w:type="spellEnd"/>
      <w:r w:rsidR="72214288" w:rsidRPr="25196C12">
        <w:rPr>
          <w:rFonts w:ascii="Times New Roman" w:hAnsi="Times New Roman" w:cs="Times New Roman"/>
        </w:rPr>
        <w:t>, 2018) illustre parfaitement la façon dont des autorités locales cherchent à s’affranchir du charbon au profit de l’hydroélectricité, notamment afin d</w:t>
      </w:r>
      <w:r w:rsidR="7E629AF2" w:rsidRPr="25196C12">
        <w:rPr>
          <w:rFonts w:ascii="Times New Roman" w:hAnsi="Times New Roman" w:cs="Times New Roman"/>
        </w:rPr>
        <w:t>’assurer une gestion financière plus saine</w:t>
      </w:r>
      <w:r w:rsidR="62626B5F" w:rsidRPr="25196C12">
        <w:rPr>
          <w:rFonts w:ascii="Times New Roman" w:hAnsi="Times New Roman" w:cs="Times New Roman"/>
        </w:rPr>
        <w:t xml:space="preserve"> à la fin du XIX</w:t>
      </w:r>
      <w:r w:rsidR="62626B5F" w:rsidRPr="005B4353">
        <w:rPr>
          <w:rFonts w:ascii="Times New Roman" w:hAnsi="Times New Roman" w:cs="Times New Roman"/>
          <w:vertAlign w:val="superscript"/>
        </w:rPr>
        <w:t>e</w:t>
      </w:r>
      <w:r w:rsidR="62626B5F" w:rsidRPr="25196C12">
        <w:rPr>
          <w:rFonts w:ascii="Times New Roman" w:hAnsi="Times New Roman" w:cs="Times New Roman"/>
        </w:rPr>
        <w:t xml:space="preserve"> siècle</w:t>
      </w:r>
      <w:r w:rsidR="7257AC17" w:rsidRPr="25196C12">
        <w:rPr>
          <w:rFonts w:ascii="Times New Roman" w:hAnsi="Times New Roman" w:cs="Times New Roman"/>
        </w:rPr>
        <w:t xml:space="preserve"> et durant le premier conflit mondial</w:t>
      </w:r>
      <w:r w:rsidR="7E629AF2" w:rsidRPr="25196C12">
        <w:rPr>
          <w:rFonts w:ascii="Times New Roman" w:hAnsi="Times New Roman" w:cs="Times New Roman"/>
        </w:rPr>
        <w:t xml:space="preserve">. </w:t>
      </w:r>
      <w:r w:rsidR="66F0ACB6" w:rsidRPr="25196C12">
        <w:rPr>
          <w:rFonts w:ascii="Times New Roman" w:hAnsi="Times New Roman" w:cs="Times New Roman"/>
        </w:rPr>
        <w:t>L’intérêt d’une étude historique des politiques publiques est d’insérer les transitions énergétiques passées dans des systèmes de pensée et d’action qui</w:t>
      </w:r>
      <w:r w:rsidR="430B8FC0" w:rsidRPr="25196C12">
        <w:rPr>
          <w:rFonts w:ascii="Times New Roman" w:hAnsi="Times New Roman" w:cs="Times New Roman"/>
        </w:rPr>
        <w:t xml:space="preserve"> ne donnent pas nécessairement une place centrale à l’énergie. Sont ainsi attendues des contributions montrant la complexité et la diversité des acteurs publics des transitions énergétiques.</w:t>
      </w:r>
    </w:p>
    <w:p w14:paraId="099C1D25" w14:textId="77777777" w:rsidR="00164265" w:rsidRDefault="00164265" w:rsidP="00036342">
      <w:pPr>
        <w:spacing w:line="276" w:lineRule="auto"/>
        <w:jc w:val="both"/>
        <w:rPr>
          <w:rFonts w:ascii="Times New Roman" w:hAnsi="Times New Roman" w:cs="Times New Roman"/>
        </w:rPr>
      </w:pPr>
    </w:p>
    <w:p w14:paraId="5765C0C8" w14:textId="4516B88F" w:rsidR="00B502A9" w:rsidRDefault="00B502A9" w:rsidP="002D1DA0">
      <w:pPr>
        <w:jc w:val="both"/>
        <w:rPr>
          <w:rFonts w:ascii="Times New Roman" w:hAnsi="Times New Roman" w:cs="Times New Roman"/>
          <w:b/>
          <w:bCs/>
        </w:rPr>
      </w:pPr>
      <w:r w:rsidRPr="6B0818EF">
        <w:rPr>
          <w:rFonts w:ascii="Times New Roman" w:hAnsi="Times New Roman" w:cs="Times New Roman"/>
          <w:b/>
          <w:bCs/>
        </w:rPr>
        <w:t xml:space="preserve">Axe 4 : </w:t>
      </w:r>
      <w:r w:rsidR="0CFF0EBA" w:rsidRPr="6B0818EF">
        <w:rPr>
          <w:rFonts w:ascii="Times New Roman" w:hAnsi="Times New Roman" w:cs="Times New Roman"/>
          <w:b/>
          <w:bCs/>
        </w:rPr>
        <w:t>Les</w:t>
      </w:r>
      <w:r w:rsidR="00164265">
        <w:rPr>
          <w:rFonts w:ascii="Times New Roman" w:hAnsi="Times New Roman" w:cs="Times New Roman"/>
          <w:b/>
          <w:bCs/>
        </w:rPr>
        <w:t xml:space="preserve"> </w:t>
      </w:r>
      <w:r w:rsidR="003538FE" w:rsidRPr="6B0818EF">
        <w:rPr>
          <w:rFonts w:ascii="Times New Roman" w:hAnsi="Times New Roman" w:cs="Times New Roman"/>
          <w:b/>
          <w:bCs/>
        </w:rPr>
        <w:t>rôle</w:t>
      </w:r>
      <w:r w:rsidR="4E18E7B4" w:rsidRPr="6B0818EF">
        <w:rPr>
          <w:rFonts w:ascii="Times New Roman" w:hAnsi="Times New Roman" w:cs="Times New Roman"/>
          <w:b/>
          <w:bCs/>
        </w:rPr>
        <w:t>s</w:t>
      </w:r>
      <w:r w:rsidR="003538FE" w:rsidRPr="6B0818EF">
        <w:rPr>
          <w:rFonts w:ascii="Times New Roman" w:hAnsi="Times New Roman" w:cs="Times New Roman"/>
          <w:b/>
          <w:bCs/>
        </w:rPr>
        <w:t xml:space="preserve"> de </w:t>
      </w:r>
      <w:r w:rsidRPr="6B0818EF">
        <w:rPr>
          <w:rFonts w:ascii="Times New Roman" w:hAnsi="Times New Roman" w:cs="Times New Roman"/>
          <w:b/>
          <w:bCs/>
        </w:rPr>
        <w:t>l’</w:t>
      </w:r>
      <w:r w:rsidR="00FF3A2F" w:rsidRPr="6B0818EF">
        <w:rPr>
          <w:rFonts w:ascii="Times New Roman" w:hAnsi="Times New Roman" w:cs="Times New Roman"/>
          <w:b/>
          <w:bCs/>
        </w:rPr>
        <w:t>entreprise</w:t>
      </w:r>
    </w:p>
    <w:p w14:paraId="696E84E2" w14:textId="77777777" w:rsidR="002E05AA" w:rsidRDefault="002E05AA" w:rsidP="002D1DA0">
      <w:pPr>
        <w:jc w:val="both"/>
        <w:rPr>
          <w:rFonts w:ascii="Times New Roman" w:hAnsi="Times New Roman" w:cs="Times New Roman"/>
        </w:rPr>
      </w:pPr>
    </w:p>
    <w:p w14:paraId="1661610F" w14:textId="60F94E35" w:rsidR="06987856" w:rsidRDefault="004A12A5" w:rsidP="25196C12">
      <w:pPr>
        <w:spacing w:line="276" w:lineRule="auto"/>
        <w:jc w:val="both"/>
        <w:rPr>
          <w:rFonts w:ascii="Times New Roman" w:hAnsi="Times New Roman" w:cs="Times New Roman"/>
        </w:rPr>
      </w:pPr>
      <w:r w:rsidRPr="4E4ECEB3">
        <w:rPr>
          <w:rFonts w:ascii="Times New Roman" w:hAnsi="Times New Roman" w:cs="Times New Roman"/>
        </w:rPr>
        <w:t>Nous proposons de traiter également du rôle des entreprises</w:t>
      </w:r>
      <w:r w:rsidR="00F74F25" w:rsidRPr="4E4ECEB3">
        <w:rPr>
          <w:rFonts w:ascii="Times New Roman" w:hAnsi="Times New Roman" w:cs="Times New Roman"/>
        </w:rPr>
        <w:t xml:space="preserve"> productrices d’énergie</w:t>
      </w:r>
      <w:r w:rsidRPr="4E4ECEB3">
        <w:rPr>
          <w:rFonts w:ascii="Times New Roman" w:hAnsi="Times New Roman" w:cs="Times New Roman"/>
          <w:color w:val="4471C4"/>
        </w:rPr>
        <w:t xml:space="preserve"> </w:t>
      </w:r>
      <w:r w:rsidR="00036342" w:rsidRPr="4E4ECEB3">
        <w:rPr>
          <w:rFonts w:ascii="Times New Roman" w:hAnsi="Times New Roman" w:cs="Times New Roman"/>
        </w:rPr>
        <w:t xml:space="preserve">dans les transitions </w:t>
      </w:r>
      <w:r w:rsidR="00532DC8" w:rsidRPr="4E4ECEB3">
        <w:rPr>
          <w:rFonts w:ascii="Times New Roman" w:hAnsi="Times New Roman" w:cs="Times New Roman"/>
        </w:rPr>
        <w:t>énergétiques,</w:t>
      </w:r>
      <w:r w:rsidR="420A5BDA" w:rsidRPr="4E4ECEB3">
        <w:rPr>
          <w:rFonts w:ascii="Times New Roman" w:hAnsi="Times New Roman" w:cs="Times New Roman"/>
        </w:rPr>
        <w:t xml:space="preserve"> entreprises </w:t>
      </w:r>
      <w:r w:rsidR="000C7EC7" w:rsidRPr="4E4ECEB3">
        <w:rPr>
          <w:rFonts w:ascii="Times New Roman" w:hAnsi="Times New Roman" w:cs="Times New Roman"/>
        </w:rPr>
        <w:t>qui ont développé des politiques de développement durable et de RSE.</w:t>
      </w:r>
      <w:r w:rsidR="000C7EC7" w:rsidRPr="4E4ECEB3">
        <w:rPr>
          <w:rFonts w:ascii="Times New Roman" w:hAnsi="Times New Roman" w:cs="Times New Roman"/>
          <w:b/>
          <w:bCs/>
        </w:rPr>
        <w:t xml:space="preserve"> </w:t>
      </w:r>
      <w:r w:rsidR="00B502A9" w:rsidRPr="4E4ECEB3">
        <w:rPr>
          <w:rFonts w:ascii="Times New Roman" w:hAnsi="Times New Roman" w:cs="Times New Roman"/>
        </w:rPr>
        <w:t>Les entreprises ont-elles</w:t>
      </w:r>
      <w:r w:rsidR="00F74F25" w:rsidRPr="4E4ECEB3">
        <w:rPr>
          <w:rFonts w:ascii="Times New Roman" w:hAnsi="Times New Roman" w:cs="Times New Roman"/>
        </w:rPr>
        <w:t xml:space="preserve"> été</w:t>
      </w:r>
      <w:r w:rsidR="00B502A9" w:rsidRPr="4E4ECEB3">
        <w:rPr>
          <w:rFonts w:ascii="Times New Roman" w:hAnsi="Times New Roman" w:cs="Times New Roman"/>
        </w:rPr>
        <w:t xml:space="preserve"> actrice</w:t>
      </w:r>
      <w:r w:rsidR="001816C6" w:rsidRPr="4E4ECEB3">
        <w:rPr>
          <w:rFonts w:ascii="Times New Roman" w:hAnsi="Times New Roman" w:cs="Times New Roman"/>
        </w:rPr>
        <w:t>s</w:t>
      </w:r>
      <w:r w:rsidR="00B502A9" w:rsidRPr="4E4ECEB3">
        <w:rPr>
          <w:rFonts w:ascii="Times New Roman" w:hAnsi="Times New Roman" w:cs="Times New Roman"/>
        </w:rPr>
        <w:t xml:space="preserve"> de</w:t>
      </w:r>
      <w:r w:rsidR="00036342" w:rsidRPr="4E4ECEB3">
        <w:rPr>
          <w:rFonts w:ascii="Times New Roman" w:hAnsi="Times New Roman" w:cs="Times New Roman"/>
        </w:rPr>
        <w:t xml:space="preserve"> ces </w:t>
      </w:r>
      <w:r w:rsidR="00B502A9" w:rsidRPr="4E4ECEB3">
        <w:rPr>
          <w:rFonts w:ascii="Times New Roman" w:hAnsi="Times New Roman" w:cs="Times New Roman"/>
        </w:rPr>
        <w:t>transition</w:t>
      </w:r>
      <w:r w:rsidR="00036342" w:rsidRPr="4E4ECEB3">
        <w:rPr>
          <w:rFonts w:ascii="Times New Roman" w:hAnsi="Times New Roman" w:cs="Times New Roman"/>
        </w:rPr>
        <w:t>s</w:t>
      </w:r>
      <w:r w:rsidR="5D06C92C" w:rsidRPr="4E4ECEB3">
        <w:rPr>
          <w:rFonts w:ascii="Times New Roman" w:hAnsi="Times New Roman" w:cs="Times New Roman"/>
        </w:rPr>
        <w:t>, les ont-elles perçues,</w:t>
      </w:r>
      <w:r w:rsidR="00B502A9" w:rsidRPr="4E4ECEB3">
        <w:rPr>
          <w:rFonts w:ascii="Times New Roman" w:hAnsi="Times New Roman" w:cs="Times New Roman"/>
        </w:rPr>
        <w:t xml:space="preserve"> et comment</w:t>
      </w:r>
      <w:r w:rsidR="000C7EC7" w:rsidRPr="4E4ECEB3">
        <w:rPr>
          <w:rFonts w:ascii="Times New Roman" w:hAnsi="Times New Roman" w:cs="Times New Roman"/>
        </w:rPr>
        <w:t xml:space="preserve"> se sont-elles saisies historiquement de ces questions</w:t>
      </w:r>
      <w:r w:rsidR="00B502A9" w:rsidRPr="4E4ECEB3">
        <w:rPr>
          <w:rFonts w:ascii="Times New Roman" w:hAnsi="Times New Roman" w:cs="Times New Roman"/>
        </w:rPr>
        <w:t> ? Quel</w:t>
      </w:r>
      <w:r w:rsidR="00130C9E" w:rsidRPr="4E4ECEB3">
        <w:rPr>
          <w:rFonts w:ascii="Times New Roman" w:hAnsi="Times New Roman" w:cs="Times New Roman"/>
        </w:rPr>
        <w:t>le a</w:t>
      </w:r>
      <w:r w:rsidR="00F74F25" w:rsidRPr="4E4ECEB3">
        <w:rPr>
          <w:rFonts w:ascii="Times New Roman" w:hAnsi="Times New Roman" w:cs="Times New Roman"/>
        </w:rPr>
        <w:t xml:space="preserve"> été </w:t>
      </w:r>
      <w:r w:rsidR="00B502A9" w:rsidRPr="4E4ECEB3">
        <w:rPr>
          <w:rFonts w:ascii="Times New Roman" w:hAnsi="Times New Roman" w:cs="Times New Roman"/>
        </w:rPr>
        <w:t>leur contribution volontaire aux enjeux environnementaux</w:t>
      </w:r>
      <w:r w:rsidR="000C7EC7" w:rsidRPr="4E4ECEB3">
        <w:rPr>
          <w:rFonts w:ascii="Times New Roman" w:hAnsi="Times New Roman" w:cs="Times New Roman"/>
        </w:rPr>
        <w:t xml:space="preserve"> et quels types de stratégies ont-elles mises en œuvre</w:t>
      </w:r>
      <w:r w:rsidR="00B502A9" w:rsidRPr="4E4ECEB3">
        <w:rPr>
          <w:rFonts w:ascii="Times New Roman" w:hAnsi="Times New Roman" w:cs="Times New Roman"/>
        </w:rPr>
        <w:t> </w:t>
      </w:r>
      <w:r w:rsidR="000C7EC7" w:rsidRPr="4E4ECEB3">
        <w:rPr>
          <w:rFonts w:ascii="Times New Roman" w:hAnsi="Times New Roman" w:cs="Times New Roman"/>
        </w:rPr>
        <w:t>pour y parvenir</w:t>
      </w:r>
      <w:r w:rsidR="003538FE" w:rsidRPr="4E4ECEB3">
        <w:rPr>
          <w:rFonts w:ascii="Times New Roman" w:hAnsi="Times New Roman" w:cs="Times New Roman"/>
        </w:rPr>
        <w:t>, ou pas</w:t>
      </w:r>
      <w:r w:rsidR="000C7EC7" w:rsidRPr="4E4ECEB3">
        <w:rPr>
          <w:rFonts w:ascii="Times New Roman" w:hAnsi="Times New Roman" w:cs="Times New Roman"/>
        </w:rPr>
        <w:t xml:space="preserve"> </w:t>
      </w:r>
      <w:r w:rsidR="00B502A9" w:rsidRPr="4E4ECEB3">
        <w:rPr>
          <w:rFonts w:ascii="Times New Roman" w:hAnsi="Times New Roman" w:cs="Times New Roman"/>
        </w:rPr>
        <w:t>?</w:t>
      </w:r>
      <w:r w:rsidR="00F74F25" w:rsidRPr="4E4ECEB3">
        <w:rPr>
          <w:rFonts w:ascii="Times New Roman" w:hAnsi="Times New Roman" w:cs="Times New Roman"/>
        </w:rPr>
        <w:t xml:space="preserve"> </w:t>
      </w:r>
      <w:r w:rsidR="54B9ECE4" w:rsidRPr="4E4ECEB3">
        <w:rPr>
          <w:rFonts w:ascii="Times New Roman" w:hAnsi="Times New Roman" w:cs="Times New Roman"/>
        </w:rPr>
        <w:t xml:space="preserve">La dimension environnementale s’entend ici de façon très large et ne saurait se limiter </w:t>
      </w:r>
      <w:r w:rsidR="715F4778" w:rsidRPr="4E4ECEB3">
        <w:rPr>
          <w:rFonts w:ascii="Times New Roman" w:hAnsi="Times New Roman" w:cs="Times New Roman"/>
        </w:rPr>
        <w:t xml:space="preserve">à l’institutionnalisation des deux dernières décennies. Les entreprises peuvent ici être envisagées comme des acteurs dans un espace public mais également comme des organisations </w:t>
      </w:r>
      <w:r w:rsidR="5CFAB4B7" w:rsidRPr="4E4ECEB3">
        <w:rPr>
          <w:rFonts w:ascii="Times New Roman" w:hAnsi="Times New Roman" w:cs="Times New Roman"/>
        </w:rPr>
        <w:t xml:space="preserve">soumises à des conflits internes. La part de l’environnement dans les transitions énergétiques mérite d’être historicisée, notamment </w:t>
      </w:r>
      <w:r w:rsidR="21060BD4" w:rsidRPr="4E4ECEB3">
        <w:rPr>
          <w:rFonts w:ascii="Times New Roman" w:hAnsi="Times New Roman" w:cs="Times New Roman"/>
        </w:rPr>
        <w:t xml:space="preserve">du point de vue des entreprises, </w:t>
      </w:r>
      <w:r w:rsidR="4D775252" w:rsidRPr="4E4ECEB3">
        <w:rPr>
          <w:rFonts w:ascii="Times New Roman" w:hAnsi="Times New Roman" w:cs="Times New Roman"/>
        </w:rPr>
        <w:t xml:space="preserve">en distinguant ce qui relève d’un affichage et ce qui nourrit des débats </w:t>
      </w:r>
      <w:r w:rsidR="29E5C64D" w:rsidRPr="4E4ECEB3">
        <w:rPr>
          <w:rFonts w:ascii="Times New Roman" w:hAnsi="Times New Roman" w:cs="Times New Roman"/>
        </w:rPr>
        <w:t>stratégiques.</w:t>
      </w:r>
    </w:p>
    <w:p w14:paraId="225D31EA" w14:textId="52B06672" w:rsidR="499CBED7" w:rsidRPr="00532DC8" w:rsidRDefault="499CBED7" w:rsidP="4E4ECEB3">
      <w:pPr>
        <w:spacing w:line="276" w:lineRule="auto"/>
        <w:jc w:val="both"/>
        <w:rPr>
          <w:rFonts w:ascii="Times New Roman" w:hAnsi="Times New Roman" w:cs="Times New Roman"/>
        </w:rPr>
      </w:pPr>
      <w:r w:rsidRPr="00532DC8">
        <w:rPr>
          <w:rFonts w:ascii="Times New Roman" w:hAnsi="Times New Roman" w:cs="Times New Roman"/>
        </w:rPr>
        <w:t>On y ajoutera le rôle de puissants syndicats que ce soit dans le secteur charbonnier, les hydrocarbures liquides ou gazeux et l’électricité</w:t>
      </w:r>
      <w:r w:rsidR="28EF3170" w:rsidRPr="00532DC8">
        <w:rPr>
          <w:rFonts w:ascii="Times New Roman" w:hAnsi="Times New Roman" w:cs="Times New Roman"/>
        </w:rPr>
        <w:t>. Souvent appuyés sur certains partis politiques, ils ont pu favoriser l’essor ou le maintien de certains choix énergétiques</w:t>
      </w:r>
      <w:r w:rsidR="4CC8ED7C" w:rsidRPr="00532DC8">
        <w:rPr>
          <w:rFonts w:ascii="Times New Roman" w:hAnsi="Times New Roman" w:cs="Times New Roman"/>
        </w:rPr>
        <w:t>. En fait,</w:t>
      </w:r>
      <w:r w:rsidR="681848C3" w:rsidRPr="00532DC8">
        <w:rPr>
          <w:rFonts w:ascii="Times New Roman" w:hAnsi="Times New Roman" w:cs="Times New Roman"/>
        </w:rPr>
        <w:t xml:space="preserve"> l</w:t>
      </w:r>
      <w:r w:rsidR="4CC8ED7C" w:rsidRPr="00532DC8">
        <w:rPr>
          <w:rFonts w:ascii="Times New Roman" w:hAnsi="Times New Roman" w:cs="Times New Roman"/>
        </w:rPr>
        <w:t xml:space="preserve">es énergies ont aussi leurs mythologies depuis la mine et ses dangers, la beauté des barrages </w:t>
      </w:r>
      <w:r w:rsidR="4CC8ED7C" w:rsidRPr="00532DC8">
        <w:rPr>
          <w:rFonts w:ascii="Times New Roman" w:hAnsi="Times New Roman" w:cs="Times New Roman"/>
        </w:rPr>
        <w:lastRenderedPageBreak/>
        <w:t xml:space="preserve">hydroélectriques ou l’audace des chercheurs de pétrole. </w:t>
      </w:r>
      <w:r w:rsidR="7AF4D86F" w:rsidRPr="00532DC8">
        <w:rPr>
          <w:rFonts w:ascii="Times New Roman" w:hAnsi="Times New Roman" w:cs="Times New Roman"/>
        </w:rPr>
        <w:t>Mais ces mythes ont leur contrepoint avec une légende noire qui touche aussi bien le charbon, le pétrole que l’atome</w:t>
      </w:r>
      <w:r w:rsidR="7126DBAA" w:rsidRPr="00532DC8">
        <w:rPr>
          <w:rFonts w:ascii="Times New Roman" w:hAnsi="Times New Roman" w:cs="Times New Roman"/>
        </w:rPr>
        <w:t>.</w:t>
      </w:r>
    </w:p>
    <w:p w14:paraId="6411ADF1" w14:textId="06EB6930" w:rsidR="00980D7F" w:rsidRPr="00980D7F" w:rsidRDefault="7D74CE20" w:rsidP="00980D7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6AFA7E40">
        <w:rPr>
          <w:rFonts w:ascii="Times New Roman" w:hAnsi="Times New Roman" w:cs="Times New Roman"/>
        </w:rPr>
        <w:t>En conséquence, cet</w:t>
      </w:r>
      <w:r w:rsidR="6EAEACE8" w:rsidRPr="6AFA7E40">
        <w:rPr>
          <w:rFonts w:ascii="Times New Roman" w:hAnsi="Times New Roman" w:cs="Times New Roman"/>
        </w:rPr>
        <w:t xml:space="preserve"> </w:t>
      </w:r>
      <w:r w:rsidR="759F784C" w:rsidRPr="6AFA7E40">
        <w:rPr>
          <w:rFonts w:ascii="Times New Roman" w:hAnsi="Times New Roman" w:cs="Times New Roman"/>
        </w:rPr>
        <w:t>axe</w:t>
      </w:r>
      <w:r w:rsidR="6EAEACE8" w:rsidRPr="6AFA7E40">
        <w:rPr>
          <w:rFonts w:ascii="Times New Roman" w:hAnsi="Times New Roman" w:cs="Times New Roman"/>
        </w:rPr>
        <w:t xml:space="preserve"> </w:t>
      </w:r>
      <w:r w:rsidR="759F784C" w:rsidRPr="6AFA7E40">
        <w:rPr>
          <w:rFonts w:ascii="Times New Roman" w:hAnsi="Times New Roman" w:cs="Times New Roman"/>
        </w:rPr>
        <w:t>propose aussi une réflexion sur la question de l’image et des représentations de l’entreprise</w:t>
      </w:r>
      <w:r w:rsidR="79FD53E6" w:rsidRPr="6AFA7E40">
        <w:rPr>
          <w:rFonts w:ascii="Times New Roman" w:hAnsi="Times New Roman" w:cs="Times New Roman"/>
        </w:rPr>
        <w:t xml:space="preserve"> dans l</w:t>
      </w:r>
      <w:r w:rsidR="0C63113E" w:rsidRPr="6AFA7E40">
        <w:rPr>
          <w:rFonts w:ascii="Times New Roman" w:hAnsi="Times New Roman" w:cs="Times New Roman"/>
        </w:rPr>
        <w:t>es</w:t>
      </w:r>
      <w:r w:rsidR="79FD53E6" w:rsidRPr="6AFA7E40">
        <w:rPr>
          <w:rFonts w:ascii="Times New Roman" w:hAnsi="Times New Roman" w:cs="Times New Roman"/>
        </w:rPr>
        <w:t xml:space="preserve"> société</w:t>
      </w:r>
      <w:r w:rsidR="0C63113E" w:rsidRPr="6AFA7E40">
        <w:rPr>
          <w:rFonts w:ascii="Times New Roman" w:hAnsi="Times New Roman" w:cs="Times New Roman"/>
        </w:rPr>
        <w:t>s</w:t>
      </w:r>
      <w:r w:rsidR="759F784C" w:rsidRPr="6AFA7E40">
        <w:rPr>
          <w:rFonts w:ascii="Times New Roman" w:hAnsi="Times New Roman" w:cs="Times New Roman"/>
        </w:rPr>
        <w:t xml:space="preserve">. </w:t>
      </w:r>
      <w:r w:rsidR="4EEBC750" w:rsidRPr="6AFA7E40">
        <w:rPr>
          <w:rFonts w:ascii="Times New Roman" w:hAnsi="Times New Roman" w:cs="Times New Roman"/>
        </w:rPr>
        <w:t>L</w:t>
      </w:r>
      <w:r w:rsidR="759F784C" w:rsidRPr="6AFA7E40">
        <w:rPr>
          <w:rFonts w:ascii="Times New Roman" w:hAnsi="Times New Roman" w:cs="Times New Roman"/>
        </w:rPr>
        <w:t xml:space="preserve">es </w:t>
      </w:r>
      <w:r w:rsidR="069316D1" w:rsidRPr="6AFA7E40">
        <w:rPr>
          <w:rFonts w:ascii="Times New Roman" w:hAnsi="Times New Roman" w:cs="Times New Roman"/>
        </w:rPr>
        <w:t xml:space="preserve">actions de propagande, les </w:t>
      </w:r>
      <w:r w:rsidR="759F784C" w:rsidRPr="6AFA7E40">
        <w:rPr>
          <w:rFonts w:ascii="Times New Roman" w:hAnsi="Times New Roman" w:cs="Times New Roman"/>
        </w:rPr>
        <w:t xml:space="preserve">stratégies </w:t>
      </w:r>
      <w:r w:rsidR="395A4056" w:rsidRPr="6AFA7E40">
        <w:rPr>
          <w:rFonts w:ascii="Times New Roman" w:hAnsi="Times New Roman" w:cs="Times New Roman"/>
        </w:rPr>
        <w:t xml:space="preserve">de </w:t>
      </w:r>
      <w:r w:rsidR="759F784C" w:rsidRPr="6AFA7E40">
        <w:rPr>
          <w:rFonts w:ascii="Times New Roman" w:hAnsi="Times New Roman" w:cs="Times New Roman"/>
        </w:rPr>
        <w:t xml:space="preserve">marketing et </w:t>
      </w:r>
      <w:r w:rsidR="5AD5F880" w:rsidRPr="6AFA7E40">
        <w:rPr>
          <w:rFonts w:ascii="Times New Roman" w:hAnsi="Times New Roman" w:cs="Times New Roman"/>
        </w:rPr>
        <w:t xml:space="preserve">les campagnes </w:t>
      </w:r>
      <w:r w:rsidR="759F784C" w:rsidRPr="6AFA7E40">
        <w:rPr>
          <w:rFonts w:ascii="Times New Roman" w:hAnsi="Times New Roman" w:cs="Times New Roman"/>
        </w:rPr>
        <w:t>publicitaire</w:t>
      </w:r>
      <w:r w:rsidR="4EEBC750" w:rsidRPr="6AFA7E40">
        <w:rPr>
          <w:rFonts w:ascii="Times New Roman" w:hAnsi="Times New Roman" w:cs="Times New Roman"/>
        </w:rPr>
        <w:t>s</w:t>
      </w:r>
      <w:r w:rsidR="759F784C" w:rsidRPr="6AFA7E40">
        <w:rPr>
          <w:rFonts w:ascii="Times New Roman" w:hAnsi="Times New Roman" w:cs="Times New Roman"/>
        </w:rPr>
        <w:t xml:space="preserve"> </w:t>
      </w:r>
      <w:r w:rsidR="4EEBC750" w:rsidRPr="6AFA7E40">
        <w:rPr>
          <w:rFonts w:ascii="Times New Roman" w:hAnsi="Times New Roman" w:cs="Times New Roman"/>
        </w:rPr>
        <w:t>qu’elles ont déployées</w:t>
      </w:r>
      <w:r w:rsidR="759F784C" w:rsidRPr="6AFA7E40">
        <w:rPr>
          <w:rFonts w:ascii="Times New Roman" w:hAnsi="Times New Roman" w:cs="Times New Roman"/>
        </w:rPr>
        <w:t xml:space="preserve"> quant au choix de</w:t>
      </w:r>
      <w:r w:rsidR="4EEBC750" w:rsidRPr="6AFA7E40">
        <w:rPr>
          <w:rFonts w:ascii="Times New Roman" w:hAnsi="Times New Roman" w:cs="Times New Roman"/>
        </w:rPr>
        <w:t>s</w:t>
      </w:r>
      <w:r w:rsidR="759F784C" w:rsidRPr="6AFA7E40">
        <w:rPr>
          <w:rFonts w:ascii="Times New Roman" w:hAnsi="Times New Roman" w:cs="Times New Roman"/>
        </w:rPr>
        <w:t xml:space="preserve"> énergies et </w:t>
      </w:r>
      <w:r w:rsidR="79FD53E6" w:rsidRPr="6AFA7E40">
        <w:rPr>
          <w:rFonts w:ascii="Times New Roman" w:hAnsi="Times New Roman" w:cs="Times New Roman"/>
        </w:rPr>
        <w:t>de leur</w:t>
      </w:r>
      <w:r w:rsidR="759F784C" w:rsidRPr="6AFA7E40">
        <w:rPr>
          <w:rFonts w:ascii="Times New Roman" w:hAnsi="Times New Roman" w:cs="Times New Roman"/>
        </w:rPr>
        <w:t>s usages</w:t>
      </w:r>
      <w:r w:rsidR="4EEBC750" w:rsidRPr="6AFA7E40">
        <w:rPr>
          <w:rFonts w:ascii="Times New Roman" w:hAnsi="Times New Roman" w:cs="Times New Roman"/>
        </w:rPr>
        <w:t xml:space="preserve"> </w:t>
      </w:r>
      <w:r w:rsidR="5B099E1B" w:rsidRPr="6AFA7E40">
        <w:rPr>
          <w:rFonts w:ascii="Times New Roman" w:hAnsi="Times New Roman" w:cs="Times New Roman"/>
        </w:rPr>
        <w:t>amènent</w:t>
      </w:r>
      <w:r w:rsidR="4EEBC750" w:rsidRPr="6AFA7E40">
        <w:rPr>
          <w:rFonts w:ascii="Times New Roman" w:hAnsi="Times New Roman" w:cs="Times New Roman"/>
        </w:rPr>
        <w:t xml:space="preserve"> à s’interroger sur la liberté </w:t>
      </w:r>
      <w:r w:rsidR="79FD53E6" w:rsidRPr="6AFA7E40">
        <w:rPr>
          <w:rFonts w:ascii="Times New Roman" w:hAnsi="Times New Roman" w:cs="Times New Roman"/>
        </w:rPr>
        <w:t xml:space="preserve">de choix </w:t>
      </w:r>
      <w:r w:rsidR="4EEBC750" w:rsidRPr="6AFA7E40">
        <w:rPr>
          <w:rFonts w:ascii="Times New Roman" w:hAnsi="Times New Roman" w:cs="Times New Roman"/>
        </w:rPr>
        <w:t>relative des consommateurs</w:t>
      </w:r>
      <w:r w:rsidR="01506017" w:rsidRPr="6AFA7E40">
        <w:rPr>
          <w:rFonts w:ascii="Times New Roman" w:hAnsi="Times New Roman" w:cs="Times New Roman"/>
        </w:rPr>
        <w:t xml:space="preserve"> (connaissance, opinion, croyance)</w:t>
      </w:r>
      <w:r w:rsidR="4EEBC750" w:rsidRPr="6AFA7E40">
        <w:rPr>
          <w:rFonts w:ascii="Times New Roman" w:hAnsi="Times New Roman" w:cs="Times New Roman"/>
        </w:rPr>
        <w:t>.</w:t>
      </w:r>
      <w:r w:rsidR="759F784C" w:rsidRPr="6AFA7E40">
        <w:rPr>
          <w:rFonts w:ascii="Times New Roman" w:hAnsi="Times New Roman" w:cs="Times New Roman"/>
        </w:rPr>
        <w:t> </w:t>
      </w:r>
      <w:r w:rsidR="5B099E1B" w:rsidRPr="6AFA7E40">
        <w:rPr>
          <w:rFonts w:ascii="Times New Roman" w:hAnsi="Times New Roman" w:cs="Times New Roman"/>
        </w:rPr>
        <w:t>Le discours lié à l’efficacité énergétique a probablement influencé, ou pas, le</w:t>
      </w:r>
      <w:r w:rsidR="02B415C1" w:rsidRPr="6AFA7E40">
        <w:rPr>
          <w:rFonts w:ascii="Times New Roman" w:hAnsi="Times New Roman" w:cs="Times New Roman"/>
        </w:rPr>
        <w:t>ur</w:t>
      </w:r>
      <w:r w:rsidR="5B099E1B" w:rsidRPr="6AFA7E40">
        <w:rPr>
          <w:rFonts w:ascii="Times New Roman" w:hAnsi="Times New Roman" w:cs="Times New Roman"/>
        </w:rPr>
        <w:t xml:space="preserve"> comportement</w:t>
      </w:r>
      <w:r w:rsidR="1AA40110" w:rsidRPr="6AFA7E40">
        <w:rPr>
          <w:rFonts w:ascii="Times New Roman" w:hAnsi="Times New Roman" w:cs="Times New Roman"/>
        </w:rPr>
        <w:t xml:space="preserve"> notamment dans les périodes de </w:t>
      </w:r>
      <w:r w:rsidR="5948E641" w:rsidRPr="6AFA7E40">
        <w:rPr>
          <w:rFonts w:ascii="Times New Roman" w:hAnsi="Times New Roman" w:cs="Times New Roman"/>
        </w:rPr>
        <w:t>“</w:t>
      </w:r>
      <w:r w:rsidR="1AA40110" w:rsidRPr="6AFA7E40">
        <w:rPr>
          <w:rFonts w:ascii="Times New Roman" w:hAnsi="Times New Roman" w:cs="Times New Roman"/>
        </w:rPr>
        <w:t>crises</w:t>
      </w:r>
      <w:r w:rsidR="06EEDD4C" w:rsidRPr="6AFA7E40">
        <w:rPr>
          <w:rFonts w:ascii="Times New Roman" w:hAnsi="Times New Roman" w:cs="Times New Roman"/>
        </w:rPr>
        <w:t>”</w:t>
      </w:r>
      <w:r w:rsidR="1AA40110" w:rsidRPr="6AFA7E40">
        <w:rPr>
          <w:rFonts w:ascii="Times New Roman" w:hAnsi="Times New Roman" w:cs="Times New Roman"/>
        </w:rPr>
        <w:t xml:space="preserve"> ou de </w:t>
      </w:r>
      <w:r w:rsidR="48863D7D" w:rsidRPr="6AFA7E40">
        <w:rPr>
          <w:rFonts w:ascii="Times New Roman" w:hAnsi="Times New Roman" w:cs="Times New Roman"/>
        </w:rPr>
        <w:t>“</w:t>
      </w:r>
      <w:r w:rsidR="1AA40110" w:rsidRPr="6AFA7E40">
        <w:rPr>
          <w:rFonts w:ascii="Times New Roman" w:hAnsi="Times New Roman" w:cs="Times New Roman"/>
        </w:rPr>
        <w:t>chocs</w:t>
      </w:r>
      <w:r w:rsidR="48863D7D" w:rsidRPr="6AFA7E40">
        <w:rPr>
          <w:rFonts w:ascii="Times New Roman" w:hAnsi="Times New Roman" w:cs="Times New Roman"/>
        </w:rPr>
        <w:t>”</w:t>
      </w:r>
      <w:r w:rsidR="1AA40110" w:rsidRPr="6AFA7E40">
        <w:rPr>
          <w:rFonts w:ascii="Times New Roman" w:hAnsi="Times New Roman" w:cs="Times New Roman"/>
        </w:rPr>
        <w:t xml:space="preserve"> </w:t>
      </w:r>
      <w:r w:rsidR="00532DC8" w:rsidRPr="6AFA7E40">
        <w:rPr>
          <w:rFonts w:ascii="Times New Roman" w:hAnsi="Times New Roman" w:cs="Times New Roman"/>
        </w:rPr>
        <w:t>énergétiques</w:t>
      </w:r>
      <w:r w:rsidR="1AA40110" w:rsidRPr="6AFA7E40">
        <w:rPr>
          <w:rFonts w:ascii="Times New Roman" w:hAnsi="Times New Roman" w:cs="Times New Roman"/>
        </w:rPr>
        <w:t xml:space="preserve"> qui ont caractérisé l</w:t>
      </w:r>
      <w:r w:rsidR="48AF4B5F" w:rsidRPr="6AFA7E40">
        <w:rPr>
          <w:rFonts w:ascii="Times New Roman" w:hAnsi="Times New Roman" w:cs="Times New Roman"/>
        </w:rPr>
        <w:t>’histoire du</w:t>
      </w:r>
      <w:r w:rsidR="09C786BE" w:rsidRPr="6AFA7E40">
        <w:rPr>
          <w:rFonts w:ascii="Times New Roman" w:hAnsi="Times New Roman" w:cs="Times New Roman"/>
        </w:rPr>
        <w:t xml:space="preserve"> XX</w:t>
      </w:r>
      <w:r w:rsidR="09C786BE" w:rsidRPr="00532DC8">
        <w:rPr>
          <w:rFonts w:ascii="Times New Roman" w:hAnsi="Times New Roman" w:cs="Times New Roman"/>
          <w:vertAlign w:val="superscript"/>
        </w:rPr>
        <w:t>e</w:t>
      </w:r>
      <w:r w:rsidR="09C786BE" w:rsidRPr="6AFA7E40">
        <w:rPr>
          <w:rFonts w:ascii="Times New Roman" w:hAnsi="Times New Roman" w:cs="Times New Roman"/>
        </w:rPr>
        <w:t xml:space="preserve"> siècle</w:t>
      </w:r>
      <w:r w:rsidR="5B099E1B" w:rsidRPr="6AFA7E40">
        <w:rPr>
          <w:rFonts w:ascii="Times New Roman" w:hAnsi="Times New Roman" w:cs="Times New Roman"/>
        </w:rPr>
        <w:t xml:space="preserve">. </w:t>
      </w:r>
      <w:r w:rsidR="391CB61E" w:rsidRPr="6AFA7E40">
        <w:rPr>
          <w:rFonts w:ascii="Times New Roman" w:hAnsi="Times New Roman" w:cs="Times New Roman"/>
        </w:rPr>
        <w:t>Q</w:t>
      </w:r>
      <w:r w:rsidR="6EAEACE8" w:rsidRPr="6AFA7E40">
        <w:rPr>
          <w:rFonts w:ascii="Times New Roman" w:hAnsi="Times New Roman" w:cs="Times New Roman"/>
        </w:rPr>
        <w:t xml:space="preserve">uels arguments </w:t>
      </w:r>
      <w:r w:rsidR="4EEBC750" w:rsidRPr="6AFA7E40">
        <w:rPr>
          <w:rFonts w:ascii="Times New Roman" w:hAnsi="Times New Roman" w:cs="Times New Roman"/>
        </w:rPr>
        <w:t>ont</w:t>
      </w:r>
      <w:r w:rsidR="6EAEACE8" w:rsidRPr="6AFA7E40">
        <w:rPr>
          <w:rFonts w:ascii="Times New Roman" w:hAnsi="Times New Roman" w:cs="Times New Roman"/>
        </w:rPr>
        <w:t>-elle</w:t>
      </w:r>
      <w:r w:rsidR="4EEBC750" w:rsidRPr="6AFA7E40">
        <w:rPr>
          <w:rFonts w:ascii="Times New Roman" w:hAnsi="Times New Roman" w:cs="Times New Roman"/>
        </w:rPr>
        <w:t>s</w:t>
      </w:r>
      <w:r w:rsidR="6EAEACE8" w:rsidRPr="6AFA7E40">
        <w:rPr>
          <w:rFonts w:ascii="Times New Roman" w:hAnsi="Times New Roman" w:cs="Times New Roman"/>
        </w:rPr>
        <w:t xml:space="preserve"> utilisé</w:t>
      </w:r>
      <w:r w:rsidR="00F20754">
        <w:rPr>
          <w:rFonts w:ascii="Times New Roman" w:hAnsi="Times New Roman" w:cs="Times New Roman"/>
        </w:rPr>
        <w:t>s</w:t>
      </w:r>
      <w:r w:rsidR="6EAEACE8" w:rsidRPr="6AFA7E40">
        <w:rPr>
          <w:rFonts w:ascii="Times New Roman" w:hAnsi="Times New Roman" w:cs="Times New Roman"/>
        </w:rPr>
        <w:t xml:space="preserve"> pour </w:t>
      </w:r>
      <w:r w:rsidR="391CB61E" w:rsidRPr="6AFA7E40">
        <w:rPr>
          <w:rFonts w:ascii="Times New Roman" w:hAnsi="Times New Roman" w:cs="Times New Roman"/>
        </w:rPr>
        <w:t>favoriser</w:t>
      </w:r>
      <w:r w:rsidR="6EAEACE8" w:rsidRPr="6AFA7E40">
        <w:rPr>
          <w:rFonts w:ascii="Times New Roman" w:hAnsi="Times New Roman" w:cs="Times New Roman"/>
        </w:rPr>
        <w:t xml:space="preserve"> une source d’énergie </w:t>
      </w:r>
      <w:r w:rsidR="79FD53E6" w:rsidRPr="6AFA7E40">
        <w:rPr>
          <w:rFonts w:ascii="Times New Roman" w:hAnsi="Times New Roman" w:cs="Times New Roman"/>
        </w:rPr>
        <w:t xml:space="preserve">plutôt qu’une autre </w:t>
      </w:r>
      <w:r w:rsidR="6EAEACE8" w:rsidRPr="6AFA7E40">
        <w:rPr>
          <w:rFonts w:ascii="Times New Roman" w:hAnsi="Times New Roman" w:cs="Times New Roman"/>
        </w:rPr>
        <w:t xml:space="preserve">et comment </w:t>
      </w:r>
      <w:r w:rsidR="759F784C" w:rsidRPr="6AFA7E40">
        <w:rPr>
          <w:rFonts w:ascii="Times New Roman" w:hAnsi="Times New Roman" w:cs="Times New Roman"/>
        </w:rPr>
        <w:t xml:space="preserve">ces arguments </w:t>
      </w:r>
      <w:r w:rsidR="6EAEACE8" w:rsidRPr="6AFA7E40">
        <w:rPr>
          <w:rFonts w:ascii="Times New Roman" w:hAnsi="Times New Roman" w:cs="Times New Roman"/>
        </w:rPr>
        <w:t>ont-ils été perçu</w:t>
      </w:r>
      <w:r w:rsidR="00F20754">
        <w:rPr>
          <w:rFonts w:ascii="Times New Roman" w:hAnsi="Times New Roman" w:cs="Times New Roman"/>
        </w:rPr>
        <w:t>s</w:t>
      </w:r>
      <w:r w:rsidR="759F784C" w:rsidRPr="6AFA7E40">
        <w:rPr>
          <w:rFonts w:ascii="Times New Roman" w:hAnsi="Times New Roman" w:cs="Times New Roman"/>
        </w:rPr>
        <w:t xml:space="preserve"> par les usagers</w:t>
      </w:r>
      <w:r w:rsidR="4EEBC750" w:rsidRPr="6AFA7E40">
        <w:rPr>
          <w:rFonts w:ascii="Times New Roman" w:hAnsi="Times New Roman" w:cs="Times New Roman"/>
        </w:rPr>
        <w:t xml:space="preserve"> potentiels</w:t>
      </w:r>
      <w:r w:rsidR="6EAEACE8" w:rsidRPr="6AFA7E40">
        <w:rPr>
          <w:rFonts w:ascii="Times New Roman" w:hAnsi="Times New Roman" w:cs="Times New Roman"/>
        </w:rPr>
        <w:t> ?</w:t>
      </w:r>
      <w:r w:rsidR="5B099E1B" w:rsidRPr="6AFA7E40">
        <w:rPr>
          <w:rFonts w:ascii="Times New Roman" w:hAnsi="Times New Roman" w:cs="Times New Roman"/>
          <w:b/>
          <w:bCs/>
        </w:rPr>
        <w:t xml:space="preserve"> </w:t>
      </w:r>
      <w:r w:rsidR="02B415C1" w:rsidRPr="6AFA7E40">
        <w:rPr>
          <w:rFonts w:ascii="Times New Roman" w:hAnsi="Times New Roman" w:cs="Times New Roman"/>
        </w:rPr>
        <w:t>Pour se démarquer de leur</w:t>
      </w:r>
      <w:r w:rsidR="01506017" w:rsidRPr="6AFA7E40">
        <w:rPr>
          <w:rFonts w:ascii="Times New Roman" w:hAnsi="Times New Roman" w:cs="Times New Roman"/>
        </w:rPr>
        <w:t>s</w:t>
      </w:r>
      <w:r w:rsidR="02B415C1" w:rsidRPr="6AFA7E40">
        <w:rPr>
          <w:rFonts w:ascii="Times New Roman" w:hAnsi="Times New Roman" w:cs="Times New Roman"/>
        </w:rPr>
        <w:t xml:space="preserve"> concurrent</w:t>
      </w:r>
      <w:r w:rsidR="01506017" w:rsidRPr="6AFA7E40">
        <w:rPr>
          <w:rFonts w:ascii="Times New Roman" w:hAnsi="Times New Roman" w:cs="Times New Roman"/>
        </w:rPr>
        <w:t>s</w:t>
      </w:r>
      <w:r w:rsidR="02B415C1" w:rsidRPr="6AFA7E40">
        <w:rPr>
          <w:rFonts w:ascii="Times New Roman" w:hAnsi="Times New Roman" w:cs="Times New Roman"/>
        </w:rPr>
        <w:t>, l</w:t>
      </w:r>
      <w:r w:rsidR="5B099E1B" w:rsidRPr="6AFA7E40">
        <w:rPr>
          <w:rFonts w:ascii="Times New Roman" w:hAnsi="Times New Roman" w:cs="Times New Roman"/>
        </w:rPr>
        <w:t xml:space="preserve">es entreprises </w:t>
      </w:r>
      <w:r w:rsidR="02B415C1" w:rsidRPr="6AFA7E40">
        <w:rPr>
          <w:rFonts w:ascii="Times New Roman" w:hAnsi="Times New Roman" w:cs="Times New Roman"/>
        </w:rPr>
        <w:t xml:space="preserve">énergétiques </w:t>
      </w:r>
      <w:r w:rsidR="5B099E1B" w:rsidRPr="6AFA7E40">
        <w:rPr>
          <w:rFonts w:ascii="Times New Roman" w:hAnsi="Times New Roman" w:cs="Times New Roman"/>
        </w:rPr>
        <w:t xml:space="preserve">ont </w:t>
      </w:r>
      <w:r w:rsidR="02B415C1" w:rsidRPr="6AFA7E40">
        <w:rPr>
          <w:rFonts w:ascii="Times New Roman" w:hAnsi="Times New Roman" w:cs="Times New Roman"/>
        </w:rPr>
        <w:t xml:space="preserve">travaillé leur positionnement et leur image de marque </w:t>
      </w:r>
      <w:r w:rsidR="01506017" w:rsidRPr="6AFA7E40">
        <w:rPr>
          <w:rFonts w:ascii="Times New Roman" w:hAnsi="Times New Roman" w:cs="Times New Roman"/>
        </w:rPr>
        <w:t xml:space="preserve">notamment par le </w:t>
      </w:r>
      <w:proofErr w:type="gramStart"/>
      <w:r w:rsidR="01506017" w:rsidRPr="6AFA7E40">
        <w:rPr>
          <w:rFonts w:ascii="Times New Roman" w:hAnsi="Times New Roman" w:cs="Times New Roman"/>
        </w:rPr>
        <w:t>sponsoring</w:t>
      </w:r>
      <w:proofErr w:type="gramEnd"/>
      <w:r w:rsidR="01506017" w:rsidRPr="6AFA7E40">
        <w:rPr>
          <w:rFonts w:ascii="Times New Roman" w:hAnsi="Times New Roman" w:cs="Times New Roman"/>
        </w:rPr>
        <w:t xml:space="preserve">, mécénat </w:t>
      </w:r>
      <w:r w:rsidR="02B415C1" w:rsidRPr="6AFA7E40">
        <w:rPr>
          <w:rFonts w:ascii="Times New Roman" w:hAnsi="Times New Roman" w:cs="Times New Roman"/>
        </w:rPr>
        <w:t>comme ce fut le cas de</w:t>
      </w:r>
      <w:r w:rsidR="5B099E1B" w:rsidRPr="6AFA7E40">
        <w:rPr>
          <w:rFonts w:ascii="Times New Roman" w:hAnsi="Times New Roman" w:cs="Times New Roman"/>
        </w:rPr>
        <w:t xml:space="preserve"> ELF </w:t>
      </w:r>
      <w:r w:rsidR="01506017" w:rsidRPr="6AFA7E40">
        <w:rPr>
          <w:rFonts w:ascii="Times New Roman" w:hAnsi="Times New Roman" w:cs="Times New Roman"/>
        </w:rPr>
        <w:t>dans le sport.</w:t>
      </w:r>
    </w:p>
    <w:p w14:paraId="39BF6F5A" w14:textId="697DEBBC" w:rsidR="00980D7F" w:rsidRDefault="00980D7F" w:rsidP="00107D29">
      <w:pPr>
        <w:spacing w:line="276" w:lineRule="auto"/>
        <w:jc w:val="both"/>
      </w:pPr>
    </w:p>
    <w:p w14:paraId="1EC98D00" w14:textId="342E4200" w:rsidR="00532DC8" w:rsidRPr="00532DC8" w:rsidRDefault="002E6C60" w:rsidP="00236945">
      <w:p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Quelques références b</w:t>
      </w:r>
      <w:r w:rsidR="00532DC8" w:rsidRPr="00532DC8">
        <w:rPr>
          <w:rFonts w:ascii="Times New Roman" w:hAnsi="Times New Roman" w:cs="Times New Roman"/>
          <w:b/>
          <w:bCs/>
        </w:rPr>
        <w:t>ibliographi</w:t>
      </w:r>
      <w:r>
        <w:rPr>
          <w:rFonts w:ascii="Times New Roman" w:hAnsi="Times New Roman" w:cs="Times New Roman"/>
          <w:b/>
          <w:bCs/>
        </w:rPr>
        <w:t>ques :</w:t>
      </w:r>
    </w:p>
    <w:p w14:paraId="4D47D2E6" w14:textId="33FAC648" w:rsidR="00236945" w:rsidRPr="00532DC8" w:rsidRDefault="00236945" w:rsidP="00236945">
      <w:pPr>
        <w:spacing w:line="276" w:lineRule="auto"/>
        <w:jc w:val="both"/>
        <w:rPr>
          <w:rFonts w:ascii="Times New Roman" w:eastAsia="Cambria" w:hAnsi="Times New Roman" w:cs="Times New Roman"/>
          <w:lang w:val="en-US"/>
        </w:rPr>
      </w:pPr>
      <w:proofErr w:type="spellStart"/>
      <w:r w:rsidRPr="008D1CD6">
        <w:rPr>
          <w:rFonts w:ascii="Times New Roman" w:eastAsia="Cambria" w:hAnsi="Times New Roman" w:cs="Times New Roman"/>
        </w:rPr>
        <w:t>Basosi</w:t>
      </w:r>
      <w:proofErr w:type="spellEnd"/>
      <w:r w:rsidRPr="008D1CD6">
        <w:rPr>
          <w:rFonts w:ascii="Times New Roman" w:eastAsia="Cambria" w:hAnsi="Times New Roman" w:cs="Times New Roman"/>
        </w:rPr>
        <w:t xml:space="preserve"> Duccio, « </w:t>
      </w:r>
      <w:proofErr w:type="spellStart"/>
      <w:r w:rsidRPr="008D1CD6">
        <w:rPr>
          <w:rFonts w:ascii="Times New Roman" w:eastAsia="Cambria" w:hAnsi="Times New Roman" w:cs="Times New Roman"/>
        </w:rPr>
        <w:t>Lost</w:t>
      </w:r>
      <w:proofErr w:type="spellEnd"/>
      <w:r w:rsidRPr="008D1CD6">
        <w:rPr>
          <w:rFonts w:ascii="Times New Roman" w:eastAsia="Cambria" w:hAnsi="Times New Roman" w:cs="Times New Roman"/>
        </w:rPr>
        <w:t xml:space="preserve"> in transition. </w:t>
      </w:r>
      <w:r w:rsidRPr="00532DC8">
        <w:rPr>
          <w:rFonts w:ascii="Times New Roman" w:eastAsia="Cambria" w:hAnsi="Times New Roman" w:cs="Times New Roman"/>
          <w:lang w:val="en-US"/>
        </w:rPr>
        <w:t xml:space="preserve">The world’s energy past, present and future at the 1981 United Nations Conference on New and Renewable Sources of Energy », </w:t>
      </w:r>
      <w:r w:rsidRPr="00532DC8">
        <w:rPr>
          <w:rFonts w:ascii="Times New Roman" w:eastAsia="Cambria" w:hAnsi="Times New Roman" w:cs="Times New Roman"/>
          <w:i/>
          <w:iCs/>
          <w:lang w:val="en-US"/>
        </w:rPr>
        <w:t xml:space="preserve">Revue </w:t>
      </w:r>
      <w:proofErr w:type="spellStart"/>
      <w:r w:rsidRPr="00532DC8">
        <w:rPr>
          <w:rFonts w:ascii="Times New Roman" w:eastAsia="Cambria" w:hAnsi="Times New Roman" w:cs="Times New Roman"/>
          <w:i/>
          <w:iCs/>
          <w:lang w:val="en-US"/>
        </w:rPr>
        <w:t>d'Histoire</w:t>
      </w:r>
      <w:proofErr w:type="spellEnd"/>
      <w:r w:rsidRPr="00532DC8">
        <w:rPr>
          <w:rFonts w:ascii="Times New Roman" w:eastAsia="Cambria" w:hAnsi="Times New Roman" w:cs="Times New Roman"/>
          <w:i/>
          <w:iCs/>
          <w:lang w:val="en-US"/>
        </w:rPr>
        <w:t xml:space="preserve"> de </w:t>
      </w:r>
      <w:proofErr w:type="spellStart"/>
      <w:r w:rsidRPr="00532DC8">
        <w:rPr>
          <w:rFonts w:ascii="Times New Roman" w:eastAsia="Cambria" w:hAnsi="Times New Roman" w:cs="Times New Roman"/>
          <w:i/>
          <w:iCs/>
          <w:lang w:val="en-US"/>
        </w:rPr>
        <w:t>l'Énergie</w:t>
      </w:r>
      <w:proofErr w:type="spellEnd"/>
      <w:r w:rsidRPr="00532DC8">
        <w:rPr>
          <w:rFonts w:ascii="Times New Roman" w:eastAsia="Cambria" w:hAnsi="Times New Roman" w:cs="Times New Roman"/>
          <w:lang w:val="en-US"/>
        </w:rPr>
        <w:t xml:space="preserve">, n°4, </w:t>
      </w:r>
      <w:proofErr w:type="spellStart"/>
      <w:r w:rsidRPr="00532DC8">
        <w:rPr>
          <w:rFonts w:ascii="Times New Roman" w:eastAsia="Cambria" w:hAnsi="Times New Roman" w:cs="Times New Roman"/>
          <w:lang w:val="en-US"/>
        </w:rPr>
        <w:t>juin</w:t>
      </w:r>
      <w:proofErr w:type="spellEnd"/>
      <w:r w:rsidRPr="00532DC8">
        <w:rPr>
          <w:rFonts w:ascii="Times New Roman" w:eastAsia="Cambria" w:hAnsi="Times New Roman" w:cs="Times New Roman"/>
          <w:lang w:val="en-US"/>
        </w:rPr>
        <w:t xml:space="preserve"> 2020</w:t>
      </w:r>
      <w:r>
        <w:rPr>
          <w:rFonts w:ascii="Times New Roman" w:eastAsia="Cambria" w:hAnsi="Times New Roman" w:cs="Times New Roman"/>
          <w:lang w:val="en-US"/>
        </w:rPr>
        <w:t>.</w:t>
      </w:r>
    </w:p>
    <w:p w14:paraId="7B63C325" w14:textId="77777777" w:rsidR="00236945" w:rsidRPr="00236945" w:rsidRDefault="00236945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  <w:lang w:val="en-US"/>
        </w:rPr>
      </w:pPr>
    </w:p>
    <w:p w14:paraId="7EAD6C31" w14:textId="5F4281A3" w:rsidR="0088103D" w:rsidRPr="00532DC8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</w:rPr>
      </w:pPr>
      <w:r w:rsidRPr="00532DC8">
        <w:rPr>
          <w:rFonts w:ascii="Times New Roman" w:eastAsia="Cambria" w:hAnsi="Times New Roman" w:cs="Times New Roman"/>
        </w:rPr>
        <w:t>Bouvier</w:t>
      </w:r>
      <w:r>
        <w:rPr>
          <w:rFonts w:ascii="Times New Roman" w:eastAsia="Cambria" w:hAnsi="Times New Roman" w:cs="Times New Roman"/>
        </w:rPr>
        <w:t xml:space="preserve"> </w:t>
      </w:r>
      <w:r w:rsidRPr="00532DC8">
        <w:rPr>
          <w:rFonts w:ascii="Times New Roman" w:eastAsia="Cambria" w:hAnsi="Times New Roman" w:cs="Times New Roman"/>
        </w:rPr>
        <w:t>Yves, Laborie</w:t>
      </w:r>
      <w:r>
        <w:rPr>
          <w:rFonts w:ascii="Times New Roman" w:eastAsia="Cambria" w:hAnsi="Times New Roman" w:cs="Times New Roman"/>
        </w:rPr>
        <w:t xml:space="preserve"> </w:t>
      </w:r>
      <w:r w:rsidRPr="00532DC8">
        <w:rPr>
          <w:rFonts w:ascii="Times New Roman" w:eastAsia="Cambria" w:hAnsi="Times New Roman" w:cs="Times New Roman"/>
        </w:rPr>
        <w:t>Léonard (</w:t>
      </w:r>
      <w:proofErr w:type="spellStart"/>
      <w:r w:rsidRPr="00532DC8">
        <w:rPr>
          <w:rFonts w:ascii="Times New Roman" w:eastAsia="Cambria" w:hAnsi="Times New Roman" w:cs="Times New Roman"/>
        </w:rPr>
        <w:t>dir</w:t>
      </w:r>
      <w:proofErr w:type="spellEnd"/>
      <w:r w:rsidRPr="00532DC8">
        <w:rPr>
          <w:rFonts w:ascii="Times New Roman" w:eastAsia="Cambria" w:hAnsi="Times New Roman" w:cs="Times New Roman"/>
        </w:rPr>
        <w:t xml:space="preserve">.), avec la collaboration de </w:t>
      </w:r>
      <w:proofErr w:type="spellStart"/>
      <w:r w:rsidRPr="00532DC8">
        <w:rPr>
          <w:rFonts w:ascii="Times New Roman" w:eastAsia="Cambria" w:hAnsi="Times New Roman" w:cs="Times New Roman"/>
        </w:rPr>
        <w:t>Abad</w:t>
      </w:r>
      <w:proofErr w:type="spellEnd"/>
      <w:r w:rsidR="00236945">
        <w:rPr>
          <w:rFonts w:ascii="Times New Roman" w:eastAsia="Cambria" w:hAnsi="Times New Roman" w:cs="Times New Roman"/>
        </w:rPr>
        <w:t xml:space="preserve"> </w:t>
      </w:r>
      <w:r w:rsidR="00236945" w:rsidRPr="00532DC8">
        <w:rPr>
          <w:rFonts w:ascii="Times New Roman" w:eastAsia="Cambria" w:hAnsi="Times New Roman" w:cs="Times New Roman"/>
        </w:rPr>
        <w:t>Reynald</w:t>
      </w:r>
      <w:r w:rsidRPr="00532DC8">
        <w:rPr>
          <w:rFonts w:ascii="Times New Roman" w:eastAsia="Cambria" w:hAnsi="Times New Roman" w:cs="Times New Roman"/>
        </w:rPr>
        <w:t xml:space="preserve"> et </w:t>
      </w:r>
      <w:proofErr w:type="spellStart"/>
      <w:r w:rsidR="00236945" w:rsidRPr="00532DC8">
        <w:rPr>
          <w:rFonts w:ascii="Times New Roman" w:eastAsia="Cambria" w:hAnsi="Times New Roman" w:cs="Times New Roman"/>
        </w:rPr>
        <w:t>Haakenstad</w:t>
      </w:r>
      <w:proofErr w:type="spellEnd"/>
      <w:r w:rsidR="00236945" w:rsidRPr="00532DC8">
        <w:rPr>
          <w:rFonts w:ascii="Times New Roman" w:eastAsia="Cambria" w:hAnsi="Times New Roman" w:cs="Times New Roman"/>
        </w:rPr>
        <w:t xml:space="preserve"> </w:t>
      </w:r>
      <w:r w:rsidRPr="00532DC8">
        <w:rPr>
          <w:rFonts w:ascii="Times New Roman" w:eastAsia="Cambria" w:hAnsi="Times New Roman" w:cs="Times New Roman"/>
        </w:rPr>
        <w:t xml:space="preserve">Arielle, </w:t>
      </w:r>
      <w:r w:rsidRPr="00532DC8">
        <w:rPr>
          <w:rFonts w:ascii="Times New Roman" w:eastAsia="Cambria" w:hAnsi="Times New Roman" w:cs="Times New Roman"/>
          <w:i/>
          <w:iCs/>
        </w:rPr>
        <w:t>L’Europe en transitions. Énergie, mobilité, communication. XVIII</w:t>
      </w:r>
      <w:r w:rsidRPr="00532DC8">
        <w:rPr>
          <w:rFonts w:ascii="Times New Roman" w:eastAsia="Cambria" w:hAnsi="Times New Roman" w:cs="Times New Roman"/>
          <w:i/>
          <w:iCs/>
          <w:vertAlign w:val="superscript"/>
        </w:rPr>
        <w:t>e</w:t>
      </w:r>
      <w:r w:rsidRPr="00532DC8">
        <w:rPr>
          <w:rFonts w:ascii="Times New Roman" w:eastAsia="Cambria" w:hAnsi="Times New Roman" w:cs="Times New Roman"/>
          <w:i/>
          <w:iCs/>
        </w:rPr>
        <w:t>-XXI</w:t>
      </w:r>
      <w:r w:rsidRPr="00532DC8">
        <w:rPr>
          <w:rFonts w:ascii="Times New Roman" w:eastAsia="Cambria" w:hAnsi="Times New Roman" w:cs="Times New Roman"/>
          <w:i/>
          <w:iCs/>
          <w:vertAlign w:val="superscript"/>
        </w:rPr>
        <w:t>e</w:t>
      </w:r>
      <w:r w:rsidRPr="00532DC8">
        <w:rPr>
          <w:rFonts w:ascii="Times New Roman" w:eastAsia="Cambria" w:hAnsi="Times New Roman" w:cs="Times New Roman"/>
          <w:i/>
          <w:iCs/>
        </w:rPr>
        <w:t xml:space="preserve"> siècles</w:t>
      </w:r>
      <w:r w:rsidRPr="00532DC8">
        <w:rPr>
          <w:rFonts w:ascii="Times New Roman" w:eastAsia="Cambria" w:hAnsi="Times New Roman" w:cs="Times New Roman"/>
        </w:rPr>
        <w:t>, Paris, Nouveau monde éditions, 2016</w:t>
      </w:r>
      <w:r w:rsidR="00236945">
        <w:rPr>
          <w:rFonts w:ascii="Times New Roman" w:eastAsia="Cambria" w:hAnsi="Times New Roman" w:cs="Times New Roman"/>
        </w:rPr>
        <w:t>.</w:t>
      </w:r>
    </w:p>
    <w:p w14:paraId="7196D813" w14:textId="77777777" w:rsidR="0088103D" w:rsidRPr="0088103D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</w:rPr>
      </w:pPr>
    </w:p>
    <w:p w14:paraId="5E0C0718" w14:textId="68752845" w:rsidR="0088103D" w:rsidRPr="008D1CD6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lang w:val="en-US"/>
        </w:rPr>
      </w:pPr>
      <w:proofErr w:type="spellStart"/>
      <w:r w:rsidRPr="00532DC8">
        <w:rPr>
          <w:rFonts w:ascii="Times New Roman" w:eastAsia="Cambria" w:hAnsi="Times New Roman" w:cs="Times New Roman"/>
        </w:rPr>
        <w:t>Chatterjee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 w:rsidRPr="00532DC8">
        <w:rPr>
          <w:rFonts w:ascii="Times New Roman" w:eastAsia="Cambria" w:hAnsi="Times New Roman" w:cs="Times New Roman"/>
        </w:rPr>
        <w:t>Animesh</w:t>
      </w:r>
      <w:proofErr w:type="spellEnd"/>
      <w:r w:rsidRPr="00532DC8">
        <w:rPr>
          <w:rFonts w:ascii="Times New Roman" w:eastAsia="Cambria" w:hAnsi="Times New Roman" w:cs="Times New Roman"/>
        </w:rPr>
        <w:t>, Pérez-</w:t>
      </w:r>
      <w:proofErr w:type="spellStart"/>
      <w:r w:rsidRPr="00532DC8">
        <w:rPr>
          <w:rFonts w:ascii="Times New Roman" w:eastAsia="Cambria" w:hAnsi="Times New Roman" w:cs="Times New Roman"/>
        </w:rPr>
        <w:t>Zapico</w:t>
      </w:r>
      <w:proofErr w:type="spellEnd"/>
      <w:r w:rsidRPr="00532DC8">
        <w:rPr>
          <w:rFonts w:ascii="Times New Roman" w:eastAsia="Cambria" w:hAnsi="Times New Roman" w:cs="Times New Roman"/>
        </w:rPr>
        <w:t xml:space="preserve"> Daniel (</w:t>
      </w:r>
      <w:proofErr w:type="spellStart"/>
      <w:r w:rsidRPr="00532DC8">
        <w:rPr>
          <w:rFonts w:ascii="Times New Roman" w:eastAsia="Cambria" w:hAnsi="Times New Roman" w:cs="Times New Roman"/>
        </w:rPr>
        <w:t>dir</w:t>
      </w:r>
      <w:proofErr w:type="spellEnd"/>
      <w:r w:rsidRPr="00532DC8">
        <w:rPr>
          <w:rFonts w:ascii="Times New Roman" w:eastAsia="Cambria" w:hAnsi="Times New Roman" w:cs="Times New Roman"/>
        </w:rPr>
        <w:t xml:space="preserve">.), “Electricité et énergie en temps de transition. </w:t>
      </w:r>
      <w:r w:rsidRPr="008D1CD6">
        <w:rPr>
          <w:rFonts w:ascii="Times New Roman" w:eastAsia="Cambria" w:hAnsi="Times New Roman" w:cs="Times New Roman"/>
          <w:lang w:val="en-US"/>
        </w:rPr>
        <w:t xml:space="preserve">Changer les </w:t>
      </w:r>
      <w:proofErr w:type="spellStart"/>
      <w:r w:rsidRPr="008D1CD6">
        <w:rPr>
          <w:rFonts w:ascii="Times New Roman" w:eastAsia="Cambria" w:hAnsi="Times New Roman" w:cs="Times New Roman"/>
          <w:lang w:val="en-US"/>
        </w:rPr>
        <w:t>récits</w:t>
      </w:r>
      <w:proofErr w:type="spellEnd"/>
      <w:r w:rsidRPr="008D1CD6">
        <w:rPr>
          <w:rFonts w:ascii="Times New Roman" w:eastAsia="Cambria" w:hAnsi="Times New Roman" w:cs="Times New Roman"/>
          <w:lang w:val="en-US"/>
        </w:rPr>
        <w:t xml:space="preserve">”, </w:t>
      </w:r>
      <w:r w:rsidRPr="008D1CD6">
        <w:rPr>
          <w:rFonts w:ascii="Times New Roman" w:eastAsia="Cambria" w:hAnsi="Times New Roman" w:cs="Times New Roman"/>
          <w:i/>
          <w:iCs/>
          <w:lang w:val="en-US"/>
        </w:rPr>
        <w:t xml:space="preserve">Revue </w:t>
      </w:r>
      <w:proofErr w:type="spellStart"/>
      <w:r w:rsidRPr="008D1CD6">
        <w:rPr>
          <w:rFonts w:ascii="Times New Roman" w:eastAsia="Cambria" w:hAnsi="Times New Roman" w:cs="Times New Roman"/>
          <w:i/>
          <w:iCs/>
          <w:lang w:val="en-US"/>
        </w:rPr>
        <w:t>d’histoire</w:t>
      </w:r>
      <w:proofErr w:type="spellEnd"/>
      <w:r w:rsidRPr="008D1CD6">
        <w:rPr>
          <w:rFonts w:ascii="Times New Roman" w:eastAsia="Cambria" w:hAnsi="Times New Roman" w:cs="Times New Roman"/>
          <w:i/>
          <w:iCs/>
          <w:lang w:val="en-US"/>
        </w:rPr>
        <w:t xml:space="preserve"> de </w:t>
      </w:r>
      <w:proofErr w:type="spellStart"/>
      <w:r w:rsidRPr="008D1CD6">
        <w:rPr>
          <w:rFonts w:ascii="Times New Roman" w:eastAsia="Cambria" w:hAnsi="Times New Roman" w:cs="Times New Roman"/>
          <w:i/>
          <w:iCs/>
          <w:lang w:val="en-US"/>
        </w:rPr>
        <w:t>l’énergie</w:t>
      </w:r>
      <w:proofErr w:type="spellEnd"/>
      <w:r w:rsidRPr="008D1CD6">
        <w:rPr>
          <w:rFonts w:ascii="Times New Roman" w:eastAsia="Cambria" w:hAnsi="Times New Roman" w:cs="Times New Roman"/>
          <w:lang w:val="en-US"/>
        </w:rPr>
        <w:t xml:space="preserve">, n°8, </w:t>
      </w:r>
      <w:proofErr w:type="spellStart"/>
      <w:r w:rsidRPr="008D1CD6">
        <w:rPr>
          <w:rFonts w:ascii="Times New Roman" w:eastAsia="Cambria" w:hAnsi="Times New Roman" w:cs="Times New Roman"/>
          <w:lang w:val="en-US"/>
        </w:rPr>
        <w:t>juin</w:t>
      </w:r>
      <w:proofErr w:type="spellEnd"/>
      <w:r w:rsidRPr="008D1CD6">
        <w:rPr>
          <w:rFonts w:ascii="Times New Roman" w:eastAsia="Cambria" w:hAnsi="Times New Roman" w:cs="Times New Roman"/>
          <w:lang w:val="en-US"/>
        </w:rPr>
        <w:t xml:space="preserve"> 2022.</w:t>
      </w:r>
    </w:p>
    <w:p w14:paraId="5D183A9B" w14:textId="1766FEA7" w:rsidR="0088103D" w:rsidRPr="008D1CD6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  <w:lang w:val="en-US"/>
        </w:rPr>
      </w:pPr>
    </w:p>
    <w:p w14:paraId="0135CA09" w14:textId="1EB0879E" w:rsidR="0088103D" w:rsidRPr="00532DC8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lang w:val="en-US"/>
        </w:rPr>
      </w:pPr>
      <w:r w:rsidRPr="00532DC8">
        <w:rPr>
          <w:rFonts w:ascii="Times New Roman" w:eastAsia="Cambria" w:hAnsi="Times New Roman" w:cs="Times New Roman"/>
          <w:lang w:val="en-US"/>
        </w:rPr>
        <w:t>Gross</w:t>
      </w:r>
      <w:r>
        <w:rPr>
          <w:rFonts w:ascii="Times New Roman" w:eastAsia="Cambria" w:hAnsi="Times New Roman" w:cs="Times New Roman"/>
          <w:lang w:val="en-US"/>
        </w:rPr>
        <w:t xml:space="preserve"> </w:t>
      </w:r>
      <w:r w:rsidRPr="00532DC8">
        <w:rPr>
          <w:rFonts w:ascii="Times New Roman" w:eastAsia="Cambria" w:hAnsi="Times New Roman" w:cs="Times New Roman"/>
          <w:lang w:val="en-US"/>
        </w:rPr>
        <w:t>Stephen, Needham</w:t>
      </w:r>
      <w:r>
        <w:rPr>
          <w:rFonts w:ascii="Times New Roman" w:eastAsia="Cambria" w:hAnsi="Times New Roman" w:cs="Times New Roman"/>
          <w:lang w:val="en-US"/>
        </w:rPr>
        <w:t xml:space="preserve"> </w:t>
      </w:r>
      <w:r w:rsidRPr="00532DC8">
        <w:rPr>
          <w:rFonts w:ascii="Times New Roman" w:eastAsia="Cambria" w:hAnsi="Times New Roman" w:cs="Times New Roman"/>
          <w:lang w:val="en-US"/>
        </w:rPr>
        <w:t xml:space="preserve">Andrew (ed.), </w:t>
      </w:r>
      <w:r w:rsidRPr="00532DC8">
        <w:rPr>
          <w:rFonts w:ascii="Times New Roman" w:eastAsia="Cambria" w:hAnsi="Times New Roman" w:cs="Times New Roman"/>
          <w:i/>
          <w:iCs/>
          <w:lang w:val="en-US"/>
        </w:rPr>
        <w:t>New Energies_ A History of Energy Transitions in Europe and North America</w:t>
      </w:r>
      <w:r w:rsidRPr="00532DC8">
        <w:rPr>
          <w:rFonts w:ascii="Times New Roman" w:eastAsia="Cambria" w:hAnsi="Times New Roman" w:cs="Times New Roman"/>
          <w:lang w:val="en-US"/>
        </w:rPr>
        <w:t>, Pittsburgh, University of Pittsburgh Press, 2023</w:t>
      </w:r>
      <w:r w:rsidR="00236945">
        <w:rPr>
          <w:rFonts w:ascii="Times New Roman" w:eastAsia="Cambria" w:hAnsi="Times New Roman" w:cs="Times New Roman"/>
          <w:lang w:val="en-US"/>
        </w:rPr>
        <w:t>.</w:t>
      </w:r>
    </w:p>
    <w:p w14:paraId="65441DBD" w14:textId="1C74F427" w:rsidR="0088103D" w:rsidRPr="0088103D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  <w:lang w:val="en-US"/>
        </w:rPr>
      </w:pPr>
    </w:p>
    <w:p w14:paraId="71F3AB24" w14:textId="77777777" w:rsidR="0088103D" w:rsidRPr="00532DC8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</w:rPr>
      </w:pPr>
      <w:proofErr w:type="spellStart"/>
      <w:r w:rsidRPr="00532DC8">
        <w:rPr>
          <w:rFonts w:ascii="Times New Roman" w:eastAsia="Cambria" w:hAnsi="Times New Roman" w:cs="Times New Roman"/>
        </w:rPr>
        <w:t>Jarrige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r w:rsidRPr="00532DC8">
        <w:rPr>
          <w:rFonts w:ascii="Times New Roman" w:eastAsia="Cambria" w:hAnsi="Times New Roman" w:cs="Times New Roman"/>
        </w:rPr>
        <w:t xml:space="preserve">François, </w:t>
      </w:r>
      <w:proofErr w:type="spellStart"/>
      <w:r w:rsidRPr="00532DC8">
        <w:rPr>
          <w:rFonts w:ascii="Times New Roman" w:eastAsia="Cambria" w:hAnsi="Times New Roman" w:cs="Times New Roman"/>
        </w:rPr>
        <w:t>Vrignon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r w:rsidRPr="00532DC8">
        <w:rPr>
          <w:rFonts w:ascii="Times New Roman" w:eastAsia="Cambria" w:hAnsi="Times New Roman" w:cs="Times New Roman"/>
        </w:rPr>
        <w:t>Alexis (</w:t>
      </w:r>
      <w:proofErr w:type="spellStart"/>
      <w:r w:rsidRPr="00532DC8">
        <w:rPr>
          <w:rFonts w:ascii="Times New Roman" w:eastAsia="Cambria" w:hAnsi="Times New Roman" w:cs="Times New Roman"/>
        </w:rPr>
        <w:t>dir</w:t>
      </w:r>
      <w:proofErr w:type="spellEnd"/>
      <w:r w:rsidRPr="00532DC8">
        <w:rPr>
          <w:rFonts w:ascii="Times New Roman" w:eastAsia="Cambria" w:hAnsi="Times New Roman" w:cs="Times New Roman"/>
        </w:rPr>
        <w:t xml:space="preserve">.), </w:t>
      </w:r>
      <w:r w:rsidRPr="00532DC8">
        <w:rPr>
          <w:rFonts w:ascii="Times New Roman" w:eastAsia="Cambria" w:hAnsi="Times New Roman" w:cs="Times New Roman"/>
          <w:i/>
          <w:iCs/>
        </w:rPr>
        <w:t>Face à la puissance. Une histoire des énergies alternatives à l’âge industriel</w:t>
      </w:r>
      <w:r w:rsidRPr="00532DC8">
        <w:rPr>
          <w:rFonts w:ascii="Times New Roman" w:eastAsia="Cambria" w:hAnsi="Times New Roman" w:cs="Times New Roman"/>
        </w:rPr>
        <w:t>, Paris, La Découverte, 2020, 397 p.</w:t>
      </w:r>
    </w:p>
    <w:p w14:paraId="4DC74D77" w14:textId="77777777" w:rsidR="0088103D" w:rsidRPr="0088103D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</w:rPr>
      </w:pPr>
    </w:p>
    <w:p w14:paraId="437E1A40" w14:textId="231E76FC" w:rsidR="0088103D" w:rsidRPr="00532DC8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</w:rPr>
      </w:pPr>
      <w:proofErr w:type="spellStart"/>
      <w:r w:rsidRPr="00532DC8">
        <w:rPr>
          <w:rFonts w:ascii="Times New Roman" w:eastAsia="Cambria" w:hAnsi="Times New Roman" w:cs="Times New Roman"/>
        </w:rPr>
        <w:t>Lamard</w:t>
      </w:r>
      <w:proofErr w:type="spellEnd"/>
      <w:r w:rsidRPr="00532DC8">
        <w:rPr>
          <w:rFonts w:ascii="Times New Roman" w:eastAsia="Cambria" w:hAnsi="Times New Roman" w:cs="Times New Roman"/>
        </w:rPr>
        <w:t xml:space="preserve"> Pierre, </w:t>
      </w:r>
      <w:proofErr w:type="spellStart"/>
      <w:r w:rsidRPr="00532DC8">
        <w:rPr>
          <w:rFonts w:ascii="Times New Roman" w:eastAsia="Cambria" w:hAnsi="Times New Roman" w:cs="Times New Roman"/>
        </w:rPr>
        <w:t>Stoskopf</w:t>
      </w:r>
      <w:proofErr w:type="spellEnd"/>
      <w:r w:rsidRPr="00532DC8">
        <w:rPr>
          <w:rFonts w:ascii="Times New Roman" w:eastAsia="Cambria" w:hAnsi="Times New Roman" w:cs="Times New Roman"/>
        </w:rPr>
        <w:t xml:space="preserve"> Nicolas (</w:t>
      </w:r>
      <w:proofErr w:type="spellStart"/>
      <w:r w:rsidRPr="00532DC8">
        <w:rPr>
          <w:rFonts w:ascii="Times New Roman" w:eastAsia="Cambria" w:hAnsi="Times New Roman" w:cs="Times New Roman"/>
        </w:rPr>
        <w:t>dir</w:t>
      </w:r>
      <w:proofErr w:type="spellEnd"/>
      <w:r w:rsidRPr="00532DC8">
        <w:rPr>
          <w:rFonts w:ascii="Times New Roman" w:eastAsia="Cambria" w:hAnsi="Times New Roman" w:cs="Times New Roman"/>
        </w:rPr>
        <w:t xml:space="preserve">.), </w:t>
      </w:r>
      <w:r w:rsidRPr="00532DC8">
        <w:rPr>
          <w:rFonts w:ascii="Times New Roman" w:eastAsia="Cambria" w:hAnsi="Times New Roman" w:cs="Times New Roman"/>
          <w:i/>
          <w:iCs/>
        </w:rPr>
        <w:t xml:space="preserve">La transition énergétique, un concept </w:t>
      </w:r>
      <w:proofErr w:type="gramStart"/>
      <w:r w:rsidR="00EA0E1A" w:rsidRPr="00532DC8">
        <w:rPr>
          <w:rFonts w:ascii="Times New Roman" w:eastAsia="Cambria" w:hAnsi="Times New Roman" w:cs="Times New Roman"/>
          <w:i/>
          <w:iCs/>
        </w:rPr>
        <w:t>historique ?</w:t>
      </w:r>
      <w:r w:rsidR="00EA0E1A">
        <w:rPr>
          <w:rFonts w:ascii="Times New Roman" w:eastAsia="Cambria" w:hAnsi="Times New Roman" w:cs="Times New Roman"/>
          <w:i/>
          <w:iCs/>
        </w:rPr>
        <w:t>,</w:t>
      </w:r>
      <w:proofErr w:type="gramEnd"/>
      <w:r w:rsidRPr="00532DC8">
        <w:rPr>
          <w:rFonts w:ascii="Times New Roman" w:eastAsia="Cambria" w:hAnsi="Times New Roman" w:cs="Times New Roman"/>
        </w:rPr>
        <w:t xml:space="preserve"> Villeneuve d’Ascq, Presses universitaires du Septentrion, 2018</w:t>
      </w:r>
      <w:r w:rsidR="00236945">
        <w:rPr>
          <w:rFonts w:ascii="Times New Roman" w:eastAsia="Cambria" w:hAnsi="Times New Roman" w:cs="Times New Roman"/>
        </w:rPr>
        <w:t>.</w:t>
      </w:r>
    </w:p>
    <w:p w14:paraId="7678556E" w14:textId="77777777" w:rsidR="0088103D" w:rsidRPr="0088103D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</w:rPr>
      </w:pPr>
    </w:p>
    <w:p w14:paraId="142994DC" w14:textId="1DA76D40" w:rsidR="6C518152" w:rsidRPr="00532DC8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</w:rPr>
      </w:pPr>
      <w:r w:rsidRPr="00532DC8">
        <w:rPr>
          <w:rFonts w:ascii="Times New Roman" w:eastAsia="Cambria" w:hAnsi="Times New Roman" w:cs="Times New Roman"/>
        </w:rPr>
        <w:t xml:space="preserve">Mathis </w:t>
      </w:r>
      <w:r w:rsidR="6C518152" w:rsidRPr="00532DC8">
        <w:rPr>
          <w:rFonts w:ascii="Times New Roman" w:eastAsia="Cambria" w:hAnsi="Times New Roman" w:cs="Times New Roman"/>
        </w:rPr>
        <w:t xml:space="preserve">Charles-François et </w:t>
      </w:r>
      <w:proofErr w:type="spellStart"/>
      <w:r w:rsidR="6C518152" w:rsidRPr="00532DC8">
        <w:rPr>
          <w:rFonts w:ascii="Times New Roman" w:eastAsia="Cambria" w:hAnsi="Times New Roman" w:cs="Times New Roman"/>
        </w:rPr>
        <w:t>Massard</w:t>
      </w:r>
      <w:proofErr w:type="spellEnd"/>
      <w:r w:rsidR="6C518152" w:rsidRPr="00532DC8">
        <w:rPr>
          <w:rFonts w:ascii="Times New Roman" w:eastAsia="Cambria" w:hAnsi="Times New Roman" w:cs="Times New Roman"/>
        </w:rPr>
        <w:t xml:space="preserve">-Guilbaud </w:t>
      </w:r>
      <w:r w:rsidRPr="00532DC8">
        <w:rPr>
          <w:rFonts w:ascii="Times New Roman" w:eastAsia="Cambria" w:hAnsi="Times New Roman" w:cs="Times New Roman"/>
        </w:rPr>
        <w:t xml:space="preserve">Geneviève </w:t>
      </w:r>
      <w:r w:rsidR="6C518152" w:rsidRPr="00532DC8">
        <w:rPr>
          <w:rFonts w:ascii="Times New Roman" w:eastAsia="Cambria" w:hAnsi="Times New Roman" w:cs="Times New Roman"/>
        </w:rPr>
        <w:t>(</w:t>
      </w:r>
      <w:proofErr w:type="spellStart"/>
      <w:r w:rsidR="6C518152" w:rsidRPr="00532DC8">
        <w:rPr>
          <w:rFonts w:ascii="Times New Roman" w:eastAsia="Cambria" w:hAnsi="Times New Roman" w:cs="Times New Roman"/>
        </w:rPr>
        <w:t>dir</w:t>
      </w:r>
      <w:proofErr w:type="spellEnd"/>
      <w:r w:rsidR="6C518152" w:rsidRPr="00532DC8">
        <w:rPr>
          <w:rFonts w:ascii="Times New Roman" w:eastAsia="Cambria" w:hAnsi="Times New Roman" w:cs="Times New Roman"/>
        </w:rPr>
        <w:t xml:space="preserve">.), </w:t>
      </w:r>
      <w:r w:rsidR="6C518152" w:rsidRPr="00532DC8">
        <w:rPr>
          <w:rFonts w:ascii="Times New Roman" w:eastAsia="Cambria" w:hAnsi="Times New Roman" w:cs="Times New Roman"/>
          <w:i/>
          <w:iCs/>
        </w:rPr>
        <w:t>Sous le soleil. Systèmes et transitions énergétiques du Moyen Âge à nos jours</w:t>
      </w:r>
      <w:r w:rsidR="6C518152" w:rsidRPr="00532DC8">
        <w:rPr>
          <w:rFonts w:ascii="Times New Roman" w:eastAsia="Cambria" w:hAnsi="Times New Roman" w:cs="Times New Roman"/>
        </w:rPr>
        <w:t>, Paris, Éditions de la Sorbonne, 2019</w:t>
      </w:r>
      <w:r w:rsidR="00236945">
        <w:rPr>
          <w:rFonts w:ascii="Times New Roman" w:eastAsia="Cambria" w:hAnsi="Times New Roman" w:cs="Times New Roman"/>
        </w:rPr>
        <w:t>.</w:t>
      </w:r>
    </w:p>
    <w:p w14:paraId="3DD0BD5E" w14:textId="77777777" w:rsidR="0088103D" w:rsidRPr="00236945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</w:rPr>
      </w:pPr>
    </w:p>
    <w:p w14:paraId="04300F37" w14:textId="77777777" w:rsidR="00236945" w:rsidRPr="00532DC8" w:rsidRDefault="00236945" w:rsidP="00236945">
      <w:pPr>
        <w:spacing w:line="276" w:lineRule="auto"/>
        <w:jc w:val="both"/>
        <w:rPr>
          <w:rFonts w:ascii="Times New Roman" w:eastAsia="Cambria" w:hAnsi="Times New Roman" w:cs="Times New Roman"/>
          <w:lang w:val="en-US"/>
        </w:rPr>
      </w:pPr>
      <w:proofErr w:type="spellStart"/>
      <w:r w:rsidRPr="00532DC8">
        <w:rPr>
          <w:rFonts w:ascii="Times New Roman" w:eastAsia="Cambria" w:hAnsi="Times New Roman" w:cs="Times New Roman"/>
          <w:lang w:val="en-US"/>
        </w:rPr>
        <w:t>Podobnik</w:t>
      </w:r>
      <w:proofErr w:type="spellEnd"/>
      <w:r>
        <w:rPr>
          <w:rFonts w:ascii="Times New Roman" w:eastAsia="Cambria" w:hAnsi="Times New Roman" w:cs="Times New Roman"/>
          <w:lang w:val="en-US"/>
        </w:rPr>
        <w:t xml:space="preserve"> </w:t>
      </w:r>
      <w:r w:rsidRPr="00532DC8">
        <w:rPr>
          <w:rFonts w:ascii="Times New Roman" w:eastAsia="Cambria" w:hAnsi="Times New Roman" w:cs="Times New Roman"/>
          <w:lang w:val="en-US"/>
        </w:rPr>
        <w:t xml:space="preserve">Bruce, </w:t>
      </w:r>
      <w:r w:rsidRPr="00532DC8">
        <w:rPr>
          <w:rFonts w:ascii="Times New Roman" w:eastAsia="Cambria" w:hAnsi="Times New Roman" w:cs="Times New Roman"/>
          <w:i/>
          <w:iCs/>
          <w:lang w:val="en-US"/>
        </w:rPr>
        <w:t>Global Energy Shifts. Fostering Sustainability in a Turbulent Age</w:t>
      </w:r>
      <w:r w:rsidRPr="00532DC8">
        <w:rPr>
          <w:rFonts w:ascii="Times New Roman" w:eastAsia="Cambria" w:hAnsi="Times New Roman" w:cs="Times New Roman"/>
          <w:lang w:val="en-US"/>
        </w:rPr>
        <w:t>, Philadelphia, Temple University Press, 2006, 223 p</w:t>
      </w:r>
    </w:p>
    <w:p w14:paraId="718ECC0F" w14:textId="77777777" w:rsidR="00236945" w:rsidRPr="00236945" w:rsidRDefault="00236945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  <w:lang w:val="en-US"/>
        </w:rPr>
      </w:pPr>
    </w:p>
    <w:p w14:paraId="71962686" w14:textId="77777777" w:rsidR="00236945" w:rsidRPr="00532DC8" w:rsidRDefault="00236945" w:rsidP="00236945">
      <w:pPr>
        <w:spacing w:line="276" w:lineRule="auto"/>
        <w:jc w:val="both"/>
        <w:rPr>
          <w:rFonts w:ascii="Times New Roman" w:eastAsia="Cambria" w:hAnsi="Times New Roman" w:cs="Times New Roman"/>
          <w:lang w:val="en-GB"/>
        </w:rPr>
      </w:pPr>
      <w:r w:rsidRPr="00236945">
        <w:rPr>
          <w:rFonts w:ascii="Times New Roman" w:eastAsia="Cambria" w:hAnsi="Times New Roman" w:cs="Times New Roman"/>
          <w:lang w:val="en-US"/>
        </w:rPr>
        <w:t xml:space="preserve">Smil Vaclav, </w:t>
      </w:r>
      <w:r w:rsidRPr="00236945">
        <w:rPr>
          <w:rFonts w:ascii="Times New Roman" w:eastAsia="Cambria" w:hAnsi="Times New Roman" w:cs="Times New Roman"/>
          <w:i/>
          <w:iCs/>
          <w:lang w:val="en-US"/>
        </w:rPr>
        <w:t xml:space="preserve">Energy and Civilization. </w:t>
      </w:r>
      <w:r w:rsidRPr="00532DC8">
        <w:rPr>
          <w:rFonts w:ascii="Times New Roman" w:eastAsia="Cambria" w:hAnsi="Times New Roman" w:cs="Times New Roman"/>
          <w:i/>
          <w:iCs/>
          <w:lang w:val="en-GB"/>
        </w:rPr>
        <w:t>A History</w:t>
      </w:r>
      <w:r w:rsidRPr="00532DC8">
        <w:rPr>
          <w:rFonts w:ascii="Times New Roman" w:eastAsia="Cambria" w:hAnsi="Times New Roman" w:cs="Times New Roman"/>
          <w:lang w:val="en-GB"/>
        </w:rPr>
        <w:t xml:space="preserve">, Cambridge (Mass.), The MIT Press, 2017, </w:t>
      </w:r>
      <w:r w:rsidRPr="00EA0E1A">
        <w:rPr>
          <w:rFonts w:ascii="Times New Roman" w:eastAsia="Cambria" w:hAnsi="Times New Roman" w:cs="Times New Roman"/>
          <w:lang w:val="en-GB"/>
        </w:rPr>
        <w:t>55</w:t>
      </w:r>
      <w:r w:rsidRPr="00532DC8">
        <w:rPr>
          <w:rFonts w:ascii="Times New Roman" w:eastAsia="Cambria" w:hAnsi="Times New Roman" w:cs="Times New Roman"/>
          <w:lang w:val="en-GB"/>
        </w:rPr>
        <w:t>2 p.</w:t>
      </w:r>
    </w:p>
    <w:p w14:paraId="5A3ABC33" w14:textId="77777777" w:rsidR="00236945" w:rsidRPr="00236945" w:rsidRDefault="00236945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  <w:lang w:val="en-GB"/>
        </w:rPr>
      </w:pPr>
    </w:p>
    <w:p w14:paraId="64C88DC7" w14:textId="134810C0" w:rsidR="6C518152" w:rsidRPr="00532DC8" w:rsidRDefault="72A6BB99" w:rsidP="00236945">
      <w:pPr>
        <w:spacing w:line="276" w:lineRule="auto"/>
        <w:jc w:val="both"/>
        <w:rPr>
          <w:rFonts w:ascii="Times New Roman" w:eastAsia="Cambria" w:hAnsi="Times New Roman" w:cs="Times New Roman"/>
        </w:rPr>
      </w:pPr>
      <w:proofErr w:type="spellStart"/>
      <w:r w:rsidRPr="1BB97A05">
        <w:rPr>
          <w:rFonts w:ascii="Times New Roman" w:eastAsia="Cambria" w:hAnsi="Times New Roman" w:cs="Times New Roman"/>
        </w:rPr>
        <w:t>Virgili</w:t>
      </w:r>
      <w:proofErr w:type="spellEnd"/>
      <w:r w:rsidR="54B9BF24" w:rsidRPr="1BB97A05">
        <w:rPr>
          <w:rFonts w:ascii="Times New Roman" w:eastAsia="Cambria" w:hAnsi="Times New Roman" w:cs="Times New Roman"/>
        </w:rPr>
        <w:t xml:space="preserve"> Fabrice</w:t>
      </w:r>
      <w:r w:rsidRPr="1BB97A05">
        <w:rPr>
          <w:rFonts w:ascii="Times New Roman" w:eastAsia="Cambria" w:hAnsi="Times New Roman" w:cs="Times New Roman"/>
        </w:rPr>
        <w:t>, Mathis</w:t>
      </w:r>
      <w:r w:rsidR="54B9BF24" w:rsidRPr="1BB97A05">
        <w:rPr>
          <w:rFonts w:ascii="Times New Roman" w:eastAsia="Cambria" w:hAnsi="Times New Roman" w:cs="Times New Roman"/>
        </w:rPr>
        <w:t xml:space="preserve"> Charles-François</w:t>
      </w:r>
      <w:r w:rsidRPr="1BB97A05">
        <w:rPr>
          <w:rFonts w:ascii="Times New Roman" w:eastAsia="Cambria" w:hAnsi="Times New Roman" w:cs="Times New Roman"/>
        </w:rPr>
        <w:t xml:space="preserve">, </w:t>
      </w:r>
      <w:proofErr w:type="spellStart"/>
      <w:r w:rsidRPr="1BB97A05">
        <w:rPr>
          <w:rFonts w:ascii="Times New Roman" w:eastAsia="Cambria" w:hAnsi="Times New Roman" w:cs="Times New Roman"/>
        </w:rPr>
        <w:t>Williot</w:t>
      </w:r>
      <w:proofErr w:type="spellEnd"/>
      <w:r w:rsidRPr="1BB97A05">
        <w:rPr>
          <w:rFonts w:ascii="Times New Roman" w:eastAsia="Cambria" w:hAnsi="Times New Roman" w:cs="Times New Roman"/>
        </w:rPr>
        <w:t xml:space="preserve"> </w:t>
      </w:r>
      <w:r w:rsidR="54B9BF24" w:rsidRPr="1BB97A05">
        <w:rPr>
          <w:rFonts w:ascii="Times New Roman" w:eastAsia="Cambria" w:hAnsi="Times New Roman" w:cs="Times New Roman"/>
        </w:rPr>
        <w:t xml:space="preserve">Jean-Pierre </w:t>
      </w:r>
      <w:r w:rsidRPr="1BB97A05">
        <w:rPr>
          <w:rFonts w:ascii="Times New Roman" w:eastAsia="Cambria" w:hAnsi="Times New Roman" w:cs="Times New Roman"/>
        </w:rPr>
        <w:t>(</w:t>
      </w:r>
      <w:proofErr w:type="spellStart"/>
      <w:r w:rsidRPr="1BB97A05">
        <w:rPr>
          <w:rFonts w:ascii="Times New Roman" w:eastAsia="Cambria" w:hAnsi="Times New Roman" w:cs="Times New Roman"/>
        </w:rPr>
        <w:t>dir</w:t>
      </w:r>
      <w:proofErr w:type="spellEnd"/>
      <w:r w:rsidRPr="1BB97A05">
        <w:rPr>
          <w:rFonts w:ascii="Times New Roman" w:eastAsia="Cambria" w:hAnsi="Times New Roman" w:cs="Times New Roman"/>
        </w:rPr>
        <w:t xml:space="preserve">.), “Foyers. Genre et énergie dans l’espace domestique, 19e-21e siècle”, </w:t>
      </w:r>
      <w:r w:rsidRPr="1BB97A05">
        <w:rPr>
          <w:rFonts w:ascii="Times New Roman" w:eastAsia="Cambria" w:hAnsi="Times New Roman" w:cs="Times New Roman"/>
          <w:i/>
          <w:iCs/>
        </w:rPr>
        <w:t>Revue d’histoire de l’énergie</w:t>
      </w:r>
      <w:r w:rsidRPr="1BB97A05">
        <w:rPr>
          <w:rFonts w:ascii="Times New Roman" w:eastAsia="Cambria" w:hAnsi="Times New Roman" w:cs="Times New Roman"/>
        </w:rPr>
        <w:t>, n°</w:t>
      </w:r>
      <w:r w:rsidR="344E825F" w:rsidRPr="1BB97A05">
        <w:rPr>
          <w:rFonts w:ascii="Times New Roman" w:eastAsia="Cambria" w:hAnsi="Times New Roman" w:cs="Times New Roman"/>
        </w:rPr>
        <w:t>6, juin 2021.</w:t>
      </w:r>
    </w:p>
    <w:p w14:paraId="7B22383B" w14:textId="77777777" w:rsidR="0088103D" w:rsidRPr="00236945" w:rsidRDefault="0088103D" w:rsidP="00236945">
      <w:pPr>
        <w:spacing w:line="276" w:lineRule="auto"/>
        <w:jc w:val="both"/>
        <w:rPr>
          <w:rFonts w:ascii="Times New Roman" w:eastAsia="Cambria" w:hAnsi="Times New Roman" w:cs="Times New Roman"/>
          <w:sz w:val="6"/>
          <w:szCs w:val="6"/>
        </w:rPr>
      </w:pPr>
    </w:p>
    <w:p w14:paraId="31566D01" w14:textId="4743252E" w:rsidR="2E0CD59A" w:rsidRPr="00532DC8" w:rsidRDefault="00236945" w:rsidP="00236945">
      <w:pPr>
        <w:spacing w:line="276" w:lineRule="auto"/>
        <w:jc w:val="both"/>
        <w:rPr>
          <w:rFonts w:ascii="Times New Roman" w:eastAsia="Cambria" w:hAnsi="Times New Roman" w:cs="Times New Roman"/>
        </w:rPr>
      </w:pPr>
      <w:proofErr w:type="spellStart"/>
      <w:r w:rsidRPr="00532DC8">
        <w:rPr>
          <w:rFonts w:ascii="Times New Roman" w:eastAsia="Cambria" w:hAnsi="Times New Roman" w:cs="Times New Roman"/>
        </w:rPr>
        <w:t>Zélem</w:t>
      </w:r>
      <w:proofErr w:type="spellEnd"/>
      <w:r w:rsidRPr="00532DC8">
        <w:rPr>
          <w:rFonts w:ascii="Times New Roman" w:eastAsia="Cambria" w:hAnsi="Times New Roman" w:cs="Times New Roman"/>
        </w:rPr>
        <w:t xml:space="preserve"> </w:t>
      </w:r>
      <w:r w:rsidR="2E0CD59A" w:rsidRPr="00532DC8">
        <w:rPr>
          <w:rFonts w:ascii="Times New Roman" w:eastAsia="Cambria" w:hAnsi="Times New Roman" w:cs="Times New Roman"/>
        </w:rPr>
        <w:t xml:space="preserve">Marie-Christine, </w:t>
      </w:r>
      <w:r w:rsidR="2E0CD59A" w:rsidRPr="00532DC8">
        <w:rPr>
          <w:rFonts w:ascii="Times New Roman" w:eastAsia="Cambria" w:hAnsi="Times New Roman" w:cs="Times New Roman"/>
          <w:i/>
          <w:iCs/>
        </w:rPr>
        <w:t>Politiques de maîtrise de la demande d’énergie et résistances au changement. Une approche socio-anthropologique</w:t>
      </w:r>
      <w:r w:rsidR="2E0CD59A" w:rsidRPr="00532DC8">
        <w:rPr>
          <w:rFonts w:ascii="Times New Roman" w:eastAsia="Cambria" w:hAnsi="Times New Roman" w:cs="Times New Roman"/>
        </w:rPr>
        <w:t xml:space="preserve">, Paris, </w:t>
      </w:r>
      <w:proofErr w:type="spellStart"/>
      <w:r w:rsidR="2E0CD59A" w:rsidRPr="00532DC8">
        <w:rPr>
          <w:rFonts w:ascii="Times New Roman" w:eastAsia="Cambria" w:hAnsi="Times New Roman" w:cs="Times New Roman"/>
        </w:rPr>
        <w:t>L’Harmattan</w:t>
      </w:r>
      <w:proofErr w:type="spellEnd"/>
      <w:r w:rsidR="2E0CD59A" w:rsidRPr="00532DC8">
        <w:rPr>
          <w:rFonts w:ascii="Times New Roman" w:eastAsia="Cambria" w:hAnsi="Times New Roman" w:cs="Times New Roman"/>
        </w:rPr>
        <w:t>, 2010, 323 p.</w:t>
      </w:r>
    </w:p>
    <w:p w14:paraId="68BC3BCF" w14:textId="5B85A245" w:rsidR="6B0818EF" w:rsidRPr="008D1CD6" w:rsidRDefault="6B0818EF" w:rsidP="6B0818EF">
      <w:pPr>
        <w:spacing w:line="276" w:lineRule="auto"/>
        <w:jc w:val="both"/>
        <w:rPr>
          <w:rFonts w:ascii="Cambria" w:eastAsia="Cambria" w:hAnsi="Cambria" w:cs="Cambria"/>
        </w:rPr>
      </w:pPr>
    </w:p>
    <w:p w14:paraId="72C20671" w14:textId="5D2CE89A" w:rsidR="6B0818EF" w:rsidRPr="008D1CD6" w:rsidRDefault="6B0818EF" w:rsidP="6B0818EF">
      <w:pPr>
        <w:spacing w:line="276" w:lineRule="auto"/>
        <w:jc w:val="both"/>
      </w:pPr>
    </w:p>
    <w:p w14:paraId="1AE36A3D" w14:textId="11D1C535" w:rsidR="00D533F2" w:rsidRPr="00403035" w:rsidRDefault="00D533F2" w:rsidP="00D533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0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lastRenderedPageBreak/>
        <w:t>Modalités de soumission et de sélection</w:t>
      </w:r>
    </w:p>
    <w:p w14:paraId="216F65DA" w14:textId="77777777" w:rsidR="00D533F2" w:rsidRPr="00403035" w:rsidRDefault="00D533F2" w:rsidP="00D533F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4030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2B08D1C6" w14:textId="67EDD2B0" w:rsidR="00033800" w:rsidRPr="00033800" w:rsidRDefault="00033800" w:rsidP="0003634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lev"/>
          <w:rFonts w:ascii="Times New Roman" w:hAnsi="Times New Roman" w:cs="Times New Roman"/>
          <w:b w:val="0"/>
          <w:color w:val="000000"/>
          <w:shd w:val="clear" w:color="auto" w:fill="FFFFFF"/>
        </w:rPr>
        <w:t xml:space="preserve">Ce colloque est ouvert à tous et toutes : chercheurs.res, jeunes chercheurs.res, doctorants.es. </w:t>
      </w:r>
      <w:r w:rsidRPr="00033800">
        <w:rPr>
          <w:rStyle w:val="lev"/>
          <w:rFonts w:ascii="Times New Roman" w:hAnsi="Times New Roman" w:cs="Times New Roman"/>
          <w:b w:val="0"/>
          <w:color w:val="000000"/>
          <w:shd w:val="clear" w:color="auto" w:fill="FFFFFF"/>
        </w:rPr>
        <w:t>Seront attendues des propositions comportant une dimension historique explicite pouvant s'étendre jusqu'au temps présent.</w:t>
      </w:r>
      <w:r>
        <w:rPr>
          <w:rStyle w:val="lev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14:paraId="69ABC7CA" w14:textId="226AD8E6" w:rsidR="00CA4B2E" w:rsidRDefault="0045777D" w:rsidP="00036342">
      <w:pPr>
        <w:spacing w:line="276" w:lineRule="auto"/>
        <w:jc w:val="both"/>
        <w:rPr>
          <w:rFonts w:ascii="Times New Roman" w:hAnsi="Times New Roman" w:cs="Times New Roman"/>
        </w:rPr>
      </w:pPr>
      <w:r w:rsidRPr="00033800">
        <w:rPr>
          <w:rFonts w:ascii="Times New Roman" w:hAnsi="Times New Roman" w:cs="Times New Roman"/>
        </w:rPr>
        <w:t>Les propositions de communication (</w:t>
      </w:r>
      <w:r w:rsidR="00636491">
        <w:rPr>
          <w:rFonts w:ascii="Times New Roman" w:hAnsi="Times New Roman" w:cs="Times New Roman"/>
        </w:rPr>
        <w:t>500</w:t>
      </w:r>
      <w:r w:rsidRPr="00033800">
        <w:rPr>
          <w:rFonts w:ascii="Times New Roman" w:hAnsi="Times New Roman" w:cs="Times New Roman"/>
        </w:rPr>
        <w:t xml:space="preserve"> mots au maximum</w:t>
      </w:r>
      <w:r w:rsidR="00636491">
        <w:rPr>
          <w:rFonts w:ascii="Times New Roman" w:hAnsi="Times New Roman" w:cs="Times New Roman"/>
        </w:rPr>
        <w:t xml:space="preserve">, espaces compris, </w:t>
      </w:r>
      <w:r w:rsidRPr="00033800">
        <w:rPr>
          <w:rFonts w:ascii="Times New Roman" w:hAnsi="Times New Roman" w:cs="Times New Roman"/>
        </w:rPr>
        <w:t xml:space="preserve">avec 5 mots clés) ainsi qu’un CV (de moins d’une page) devront être adressées avant </w:t>
      </w:r>
      <w:r w:rsidR="00636491">
        <w:rPr>
          <w:rFonts w:ascii="Times New Roman" w:hAnsi="Times New Roman" w:cs="Times New Roman"/>
        </w:rPr>
        <w:t>le 15 janvier 2024</w:t>
      </w:r>
      <w:r w:rsidRPr="00033800">
        <w:rPr>
          <w:rFonts w:ascii="Times New Roman" w:hAnsi="Times New Roman" w:cs="Times New Roman"/>
        </w:rPr>
        <w:t>, soit en français, soit en anglais</w:t>
      </w:r>
      <w:r w:rsidRPr="00CA4B2E">
        <w:rPr>
          <w:rFonts w:ascii="Times New Roman" w:hAnsi="Times New Roman" w:cs="Times New Roman"/>
        </w:rPr>
        <w:t xml:space="preserve">, à </w:t>
      </w:r>
      <w:r w:rsidR="00CA4B2E" w:rsidRPr="00CA4B2E">
        <w:rPr>
          <w:rStyle w:val="ui-provider"/>
          <w:rFonts w:ascii="Times New Roman" w:hAnsi="Times New Roman" w:cs="Times New Roman"/>
        </w:rPr>
        <w:t>colloque-2024</w:t>
      </w:r>
      <w:r w:rsidR="005B4353">
        <w:rPr>
          <w:rStyle w:val="ui-provider"/>
          <w:rFonts w:ascii="Times New Roman" w:hAnsi="Times New Roman" w:cs="Times New Roman"/>
        </w:rPr>
        <w:t>@</w:t>
      </w:r>
      <w:r w:rsidR="00CA4B2E" w:rsidRPr="00CA4B2E">
        <w:rPr>
          <w:rStyle w:val="ui-provider"/>
          <w:rFonts w:ascii="Times New Roman" w:hAnsi="Times New Roman" w:cs="Times New Roman"/>
        </w:rPr>
        <w:t>totalenergies.com</w:t>
      </w:r>
      <w:r w:rsidR="00033800" w:rsidRPr="00033800">
        <w:rPr>
          <w:rFonts w:ascii="Times New Roman" w:hAnsi="Times New Roman" w:cs="Times New Roman"/>
        </w:rPr>
        <w:t xml:space="preserve"> </w:t>
      </w:r>
    </w:p>
    <w:p w14:paraId="2506E14B" w14:textId="2E435F4D" w:rsidR="00033800" w:rsidRPr="00033800" w:rsidRDefault="00033800" w:rsidP="0003634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33800">
        <w:rPr>
          <w:rFonts w:ascii="Times New Roman" w:eastAsia="Times New Roman" w:hAnsi="Times New Roman" w:cs="Times New Roman"/>
          <w:color w:val="000000"/>
          <w:lang w:eastAsia="fr-FR"/>
        </w:rPr>
        <w:t>Chaque proposition doit inclure les nom, prénom et affiliation(s) de l'intervenant, ainsi qu’une brève biographie (</w:t>
      </w:r>
      <w:r w:rsidR="00636491">
        <w:rPr>
          <w:rFonts w:ascii="Times New Roman" w:eastAsia="Times New Roman" w:hAnsi="Times New Roman" w:cs="Times New Roman"/>
          <w:color w:val="000000"/>
          <w:lang w:eastAsia="fr-FR"/>
        </w:rPr>
        <w:t>250 mots</w:t>
      </w:r>
      <w:r w:rsidRPr="00033800">
        <w:rPr>
          <w:rFonts w:ascii="Times New Roman" w:eastAsia="Times New Roman" w:hAnsi="Times New Roman" w:cs="Times New Roman"/>
          <w:color w:val="000000"/>
          <w:lang w:eastAsia="fr-FR"/>
        </w:rPr>
        <w:t xml:space="preserve"> maximum). Elle doit également préciser l’axe (ou les axes) du colloque dans lequel elle s'inscrit.</w:t>
      </w:r>
    </w:p>
    <w:p w14:paraId="0982921B" w14:textId="202F2063" w:rsidR="0045777D" w:rsidRPr="00FE5B0F" w:rsidRDefault="0045777D" w:rsidP="00036342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33800">
        <w:rPr>
          <w:rFonts w:ascii="Times New Roman" w:hAnsi="Times New Roman" w:cs="Times New Roman"/>
        </w:rPr>
        <w:t>Le comité scientifique fera un choix qui sera communiqué aux futurs participants</w:t>
      </w:r>
      <w:r w:rsidR="00636491">
        <w:rPr>
          <w:rFonts w:ascii="Times New Roman" w:hAnsi="Times New Roman" w:cs="Times New Roman"/>
        </w:rPr>
        <w:t xml:space="preserve"> </w:t>
      </w:r>
      <w:r w:rsidR="00636491" w:rsidRPr="00636491">
        <w:rPr>
          <w:rFonts w:ascii="Times New Roman" w:hAnsi="Times New Roman" w:cs="Times New Roman"/>
          <w:u w:val="single"/>
        </w:rPr>
        <w:t>fin janvier 2024</w:t>
      </w:r>
      <w:r w:rsidRPr="00033800">
        <w:rPr>
          <w:rFonts w:ascii="Times New Roman" w:hAnsi="Times New Roman" w:cs="Times New Roman"/>
        </w:rPr>
        <w:t xml:space="preserve">. Un résumé </w:t>
      </w:r>
      <w:r w:rsidR="00636491">
        <w:rPr>
          <w:rFonts w:ascii="Times New Roman" w:hAnsi="Times New Roman" w:cs="Times New Roman"/>
        </w:rPr>
        <w:t xml:space="preserve">plus conséquent </w:t>
      </w:r>
      <w:r w:rsidR="0064401C">
        <w:rPr>
          <w:rFonts w:ascii="Times New Roman" w:hAnsi="Times New Roman" w:cs="Times New Roman"/>
        </w:rPr>
        <w:t>de deux</w:t>
      </w:r>
      <w:r w:rsidRPr="00033800">
        <w:rPr>
          <w:rFonts w:ascii="Times New Roman" w:hAnsi="Times New Roman" w:cs="Times New Roman"/>
        </w:rPr>
        <w:t xml:space="preserve"> à </w:t>
      </w:r>
      <w:r w:rsidR="0064401C">
        <w:rPr>
          <w:rFonts w:ascii="Times New Roman" w:hAnsi="Times New Roman" w:cs="Times New Roman"/>
        </w:rPr>
        <w:t>trois</w:t>
      </w:r>
      <w:r w:rsidRPr="00033800">
        <w:rPr>
          <w:rFonts w:ascii="Times New Roman" w:hAnsi="Times New Roman" w:cs="Times New Roman"/>
        </w:rPr>
        <w:t xml:space="preserve"> page</w:t>
      </w:r>
      <w:r w:rsidR="0064401C">
        <w:rPr>
          <w:rFonts w:ascii="Times New Roman" w:hAnsi="Times New Roman" w:cs="Times New Roman"/>
        </w:rPr>
        <w:t>s</w:t>
      </w:r>
      <w:r w:rsidRPr="00033800">
        <w:rPr>
          <w:rFonts w:ascii="Times New Roman" w:hAnsi="Times New Roman" w:cs="Times New Roman"/>
        </w:rPr>
        <w:t xml:space="preserve"> sera alors demandé</w:t>
      </w:r>
      <w:r w:rsidR="00636491">
        <w:rPr>
          <w:rFonts w:ascii="Times New Roman" w:hAnsi="Times New Roman" w:cs="Times New Roman"/>
        </w:rPr>
        <w:t xml:space="preserve"> ainsi qu’une présentation </w:t>
      </w:r>
      <w:proofErr w:type="spellStart"/>
      <w:r w:rsidR="00636491">
        <w:rPr>
          <w:rFonts w:ascii="Times New Roman" w:hAnsi="Times New Roman" w:cs="Times New Roman"/>
        </w:rPr>
        <w:t>powerpoint</w:t>
      </w:r>
      <w:proofErr w:type="spellEnd"/>
      <w:r w:rsidR="00636491">
        <w:rPr>
          <w:rFonts w:ascii="Times New Roman" w:hAnsi="Times New Roman" w:cs="Times New Roman"/>
        </w:rPr>
        <w:t xml:space="preserve">. Ces deux documents définitifs devront être fournis </w:t>
      </w:r>
      <w:r w:rsidR="00636491" w:rsidRPr="00FE5B0F">
        <w:rPr>
          <w:rFonts w:ascii="Times New Roman" w:hAnsi="Times New Roman" w:cs="Times New Roman"/>
          <w:u w:val="single"/>
        </w:rPr>
        <w:t>avant le 15 mai 2024.</w:t>
      </w:r>
    </w:p>
    <w:p w14:paraId="19ACF1DE" w14:textId="42856C30" w:rsidR="00FE5B0F" w:rsidRDefault="4506B6CA" w:rsidP="00036342">
      <w:pPr>
        <w:spacing w:line="276" w:lineRule="auto"/>
        <w:jc w:val="both"/>
        <w:rPr>
          <w:rFonts w:ascii="Times New Roman" w:hAnsi="Times New Roman" w:cs="Times New Roman"/>
        </w:rPr>
      </w:pPr>
      <w:r w:rsidRPr="1BB97A05">
        <w:rPr>
          <w:rFonts w:ascii="Times New Roman" w:hAnsi="Times New Roman" w:cs="Times New Roman"/>
        </w:rPr>
        <w:t xml:space="preserve">Le colloque se tiendra à </w:t>
      </w:r>
      <w:r w:rsidR="0166F057" w:rsidRPr="1BB97A05">
        <w:rPr>
          <w:rFonts w:ascii="Times New Roman" w:hAnsi="Times New Roman" w:cs="Times New Roman"/>
        </w:rPr>
        <w:t>Paris-</w:t>
      </w:r>
      <w:r w:rsidRPr="1BB97A05">
        <w:rPr>
          <w:rFonts w:ascii="Times New Roman" w:hAnsi="Times New Roman" w:cs="Times New Roman"/>
        </w:rPr>
        <w:t xml:space="preserve">la Défense les </w:t>
      </w:r>
      <w:r w:rsidR="51CF7B8C" w:rsidRPr="1BB97A05">
        <w:rPr>
          <w:rFonts w:ascii="Times New Roman" w:hAnsi="Times New Roman" w:cs="Times New Roman"/>
        </w:rPr>
        <w:t>13</w:t>
      </w:r>
      <w:r w:rsidR="53D39D4A" w:rsidRPr="1BB97A05">
        <w:rPr>
          <w:rFonts w:ascii="Times New Roman" w:hAnsi="Times New Roman" w:cs="Times New Roman"/>
        </w:rPr>
        <w:t xml:space="preserve"> et </w:t>
      </w:r>
      <w:r w:rsidR="51CF7B8C" w:rsidRPr="1BB97A05">
        <w:rPr>
          <w:rFonts w:ascii="Times New Roman" w:hAnsi="Times New Roman" w:cs="Times New Roman"/>
        </w:rPr>
        <w:t>14</w:t>
      </w:r>
      <w:r w:rsidR="53D39D4A" w:rsidRPr="1BB97A05">
        <w:rPr>
          <w:rFonts w:ascii="Times New Roman" w:hAnsi="Times New Roman" w:cs="Times New Roman"/>
        </w:rPr>
        <w:t xml:space="preserve"> juin 2024</w:t>
      </w:r>
      <w:r w:rsidRPr="1BB97A05">
        <w:rPr>
          <w:rFonts w:ascii="Times New Roman" w:hAnsi="Times New Roman" w:cs="Times New Roman"/>
        </w:rPr>
        <w:t xml:space="preserve">. Les langues de travail </w:t>
      </w:r>
      <w:r w:rsidR="09442597" w:rsidRPr="1BB97A05">
        <w:rPr>
          <w:rFonts w:ascii="Times New Roman" w:hAnsi="Times New Roman" w:cs="Times New Roman"/>
        </w:rPr>
        <w:t>s</w:t>
      </w:r>
      <w:r w:rsidRPr="1BB97A05">
        <w:rPr>
          <w:rFonts w:ascii="Times New Roman" w:hAnsi="Times New Roman" w:cs="Times New Roman"/>
        </w:rPr>
        <w:t xml:space="preserve">ont le français et l’anglais (les </w:t>
      </w:r>
      <w:r w:rsidR="53D39D4A" w:rsidRPr="1BB97A05">
        <w:rPr>
          <w:rFonts w:ascii="Times New Roman" w:hAnsi="Times New Roman" w:cs="Times New Roman"/>
        </w:rPr>
        <w:t>interventions</w:t>
      </w:r>
      <w:r w:rsidRPr="1BB97A05">
        <w:rPr>
          <w:rFonts w:ascii="Times New Roman" w:hAnsi="Times New Roman" w:cs="Times New Roman"/>
        </w:rPr>
        <w:t xml:space="preserve"> seront traduit</w:t>
      </w:r>
      <w:r w:rsidR="53D39D4A" w:rsidRPr="1BB97A05">
        <w:rPr>
          <w:rFonts w:ascii="Times New Roman" w:hAnsi="Times New Roman" w:cs="Times New Roman"/>
        </w:rPr>
        <w:t>e</w:t>
      </w:r>
      <w:r w:rsidRPr="1BB97A05">
        <w:rPr>
          <w:rFonts w:ascii="Times New Roman" w:hAnsi="Times New Roman" w:cs="Times New Roman"/>
        </w:rPr>
        <w:t>s</w:t>
      </w:r>
      <w:r w:rsidR="53D39D4A" w:rsidRPr="1BB97A05">
        <w:rPr>
          <w:rFonts w:ascii="Times New Roman" w:hAnsi="Times New Roman" w:cs="Times New Roman"/>
        </w:rPr>
        <w:t xml:space="preserve"> en français et en anglais</w:t>
      </w:r>
      <w:r w:rsidR="1287CACC" w:rsidRPr="1BB97A05">
        <w:rPr>
          <w:rFonts w:ascii="Times New Roman" w:hAnsi="Times New Roman" w:cs="Times New Roman"/>
        </w:rPr>
        <w:t xml:space="preserve"> pour les anglophones</w:t>
      </w:r>
      <w:r w:rsidRPr="1BB97A05">
        <w:rPr>
          <w:rFonts w:ascii="Times New Roman" w:hAnsi="Times New Roman" w:cs="Times New Roman"/>
        </w:rPr>
        <w:t xml:space="preserve">). </w:t>
      </w:r>
      <w:r w:rsidR="09442597" w:rsidRPr="1BB97A05">
        <w:rPr>
          <w:rFonts w:ascii="Times New Roman" w:hAnsi="Times New Roman" w:cs="Times New Roman"/>
        </w:rPr>
        <w:t>Le présentiel est privilégié, mais des interventions en visio</w:t>
      </w:r>
      <w:r w:rsidR="48CFE767" w:rsidRPr="1BB97A05">
        <w:rPr>
          <w:rFonts w:ascii="Times New Roman" w:hAnsi="Times New Roman" w:cs="Times New Roman"/>
        </w:rPr>
        <w:t>conférence</w:t>
      </w:r>
      <w:r w:rsidR="09442597" w:rsidRPr="1BB97A05">
        <w:rPr>
          <w:rFonts w:ascii="Times New Roman" w:hAnsi="Times New Roman" w:cs="Times New Roman"/>
        </w:rPr>
        <w:t xml:space="preserve"> seront envisagées si besoin.</w:t>
      </w:r>
    </w:p>
    <w:p w14:paraId="1F72416F" w14:textId="2B09718F" w:rsidR="00214453" w:rsidRPr="00214453" w:rsidRDefault="00820BF3" w:rsidP="0003634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i</w:t>
      </w:r>
      <w:r w:rsidR="00214453" w:rsidRPr="00214453">
        <w:rPr>
          <w:rFonts w:ascii="Times New Roman" w:hAnsi="Times New Roman" w:cs="Times New Roman"/>
        </w:rPr>
        <w:t xml:space="preserve">ndemnisation </w:t>
      </w:r>
      <w:r>
        <w:rPr>
          <w:rFonts w:ascii="Times New Roman" w:hAnsi="Times New Roman" w:cs="Times New Roman"/>
        </w:rPr>
        <w:t>des</w:t>
      </w:r>
      <w:r w:rsidR="00214453" w:rsidRPr="00214453">
        <w:rPr>
          <w:rFonts w:ascii="Times New Roman" w:hAnsi="Times New Roman" w:cs="Times New Roman"/>
        </w:rPr>
        <w:t xml:space="preserve"> frais de déplacement et d’hébergement ser</w:t>
      </w:r>
      <w:r>
        <w:rPr>
          <w:rFonts w:ascii="Times New Roman" w:hAnsi="Times New Roman" w:cs="Times New Roman"/>
        </w:rPr>
        <w:t>a</w:t>
      </w:r>
      <w:r w:rsidR="00214453" w:rsidRPr="00214453">
        <w:rPr>
          <w:rFonts w:ascii="Times New Roman" w:hAnsi="Times New Roman" w:cs="Times New Roman"/>
        </w:rPr>
        <w:t xml:space="preserve"> étudié</w:t>
      </w:r>
      <w:r>
        <w:rPr>
          <w:rFonts w:ascii="Times New Roman" w:hAnsi="Times New Roman" w:cs="Times New Roman"/>
        </w:rPr>
        <w:t>e</w:t>
      </w:r>
      <w:r w:rsidR="00214453" w:rsidRPr="00214453">
        <w:rPr>
          <w:rFonts w:ascii="Times New Roman" w:hAnsi="Times New Roman" w:cs="Times New Roman"/>
        </w:rPr>
        <w:t xml:space="preserve"> sur demande.</w:t>
      </w:r>
    </w:p>
    <w:p w14:paraId="04E84963" w14:textId="7E2B8A27" w:rsidR="0064401C" w:rsidRDefault="0064401C" w:rsidP="00036342">
      <w:pPr>
        <w:spacing w:line="276" w:lineRule="auto"/>
        <w:jc w:val="both"/>
        <w:rPr>
          <w:rFonts w:ascii="Times New Roman" w:hAnsi="Times New Roman" w:cs="Times New Roman"/>
        </w:rPr>
      </w:pPr>
      <w:r w:rsidRPr="607B6B29">
        <w:rPr>
          <w:rFonts w:ascii="Times New Roman" w:hAnsi="Times New Roman" w:cs="Times New Roman"/>
        </w:rPr>
        <w:t xml:space="preserve">Une publication </w:t>
      </w:r>
      <w:r w:rsidR="00DE6FE4" w:rsidRPr="607B6B29">
        <w:rPr>
          <w:rFonts w:ascii="Times New Roman" w:hAnsi="Times New Roman" w:cs="Times New Roman"/>
        </w:rPr>
        <w:t>académique est prévue, avec un travail d’édition scientifique</w:t>
      </w:r>
      <w:r w:rsidRPr="607B6B29">
        <w:rPr>
          <w:rFonts w:ascii="Times New Roman" w:hAnsi="Times New Roman" w:cs="Times New Roman"/>
        </w:rPr>
        <w:t>.</w:t>
      </w:r>
    </w:p>
    <w:p w14:paraId="767C2260" w14:textId="00E8D670" w:rsidR="607B6B29" w:rsidRDefault="607B6B29" w:rsidP="607B6B2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</w:p>
    <w:p w14:paraId="2DADDEB4" w14:textId="77777777" w:rsidR="00D533F2" w:rsidRPr="0064401C" w:rsidRDefault="00D533F2" w:rsidP="00D533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44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Comité d’organisation</w:t>
      </w:r>
    </w:p>
    <w:p w14:paraId="02455E8F" w14:textId="77777777" w:rsidR="00D533F2" w:rsidRPr="00403035" w:rsidRDefault="00D533F2" w:rsidP="00D533F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40303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7F2B0159" w14:textId="0FC6D557" w:rsidR="00C61359" w:rsidRPr="00CA4B2E" w:rsidRDefault="0064401C" w:rsidP="00EF1CF3">
      <w:pPr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Hélène CATUSSEAU</w:t>
      </w:r>
      <w:r w:rsidR="009F791D">
        <w:rPr>
          <w:rFonts w:ascii="Times New Roman" w:hAnsi="Times New Roman" w:cs="Times New Roman"/>
          <w:szCs w:val="22"/>
        </w:rPr>
        <w:t xml:space="preserve">, directrice </w:t>
      </w:r>
      <w:r w:rsidR="006426D7">
        <w:rPr>
          <w:rFonts w:ascii="Times New Roman" w:hAnsi="Times New Roman" w:cs="Times New Roman"/>
          <w:szCs w:val="22"/>
        </w:rPr>
        <w:t>v</w:t>
      </w:r>
      <w:r w:rsidR="009F791D">
        <w:rPr>
          <w:rFonts w:ascii="Times New Roman" w:hAnsi="Times New Roman" w:cs="Times New Roman"/>
          <w:szCs w:val="22"/>
        </w:rPr>
        <w:t>eille</w:t>
      </w:r>
      <w:r w:rsidR="006426D7">
        <w:rPr>
          <w:rFonts w:ascii="Times New Roman" w:hAnsi="Times New Roman" w:cs="Times New Roman"/>
          <w:szCs w:val="22"/>
        </w:rPr>
        <w:t>,</w:t>
      </w:r>
      <w:r w:rsidR="009F791D">
        <w:rPr>
          <w:rFonts w:ascii="Times New Roman" w:hAnsi="Times New Roman" w:cs="Times New Roman"/>
          <w:szCs w:val="22"/>
        </w:rPr>
        <w:t xml:space="preserve"> information et </w:t>
      </w:r>
      <w:r w:rsidR="009F791D" w:rsidRPr="006426D7">
        <w:rPr>
          <w:rFonts w:ascii="Times New Roman" w:hAnsi="Times New Roman" w:cs="Times New Roman"/>
          <w:szCs w:val="22"/>
        </w:rPr>
        <w:t>archivage</w:t>
      </w:r>
      <w:r w:rsidR="006426D7">
        <w:rPr>
          <w:rFonts w:ascii="Times New Roman" w:hAnsi="Times New Roman" w:cs="Times New Roman"/>
          <w:szCs w:val="22"/>
        </w:rPr>
        <w:t>,</w:t>
      </w:r>
      <w:r w:rsidR="006426D7" w:rsidRPr="006426D7">
        <w:rPr>
          <w:rFonts w:ascii="Times New Roman" w:hAnsi="Times New Roman" w:cs="Times New Roman"/>
          <w:szCs w:val="22"/>
        </w:rPr>
        <w:t xml:space="preserve"> </w:t>
      </w:r>
      <w:r w:rsidR="006426D7" w:rsidRPr="006426D7">
        <w:rPr>
          <w:rFonts w:ascii="Times New Roman" w:hAnsi="Times New Roman" w:cs="Times New Roman"/>
          <w:shd w:val="clear" w:color="auto" w:fill="FFFFFF"/>
        </w:rPr>
        <w:t xml:space="preserve">TotalEnergies Facilities </w:t>
      </w:r>
      <w:r w:rsidR="006426D7" w:rsidRPr="00CA4B2E">
        <w:rPr>
          <w:rFonts w:ascii="Times New Roman" w:hAnsi="Times New Roman" w:cs="Times New Roman"/>
          <w:shd w:val="clear" w:color="auto" w:fill="FFFFFF"/>
        </w:rPr>
        <w:t>Management Services</w:t>
      </w:r>
    </w:p>
    <w:p w14:paraId="05C09C64" w14:textId="71F251F7" w:rsidR="00CA4B2E" w:rsidRPr="00CA4B2E" w:rsidRDefault="0064401C" w:rsidP="00EF1CF3">
      <w:pPr>
        <w:spacing w:line="276" w:lineRule="auto"/>
        <w:rPr>
          <w:rFonts w:ascii="Times New Roman" w:hAnsi="Times New Roman" w:cs="Times New Roman"/>
          <w:szCs w:val="22"/>
        </w:rPr>
      </w:pPr>
      <w:r w:rsidRPr="00CA4B2E">
        <w:rPr>
          <w:rFonts w:ascii="Times New Roman" w:hAnsi="Times New Roman" w:cs="Times New Roman"/>
          <w:szCs w:val="22"/>
        </w:rPr>
        <w:t xml:space="preserve">Clotilde CUCCHI-VIGNIER, </w:t>
      </w:r>
      <w:r w:rsidR="00CA4B2E" w:rsidRPr="00CA4B2E">
        <w:rPr>
          <w:rFonts w:ascii="Times New Roman" w:hAnsi="Times New Roman" w:cs="Times New Roman"/>
          <w:szCs w:val="22"/>
        </w:rPr>
        <w:t>responsable département Archives et Records Management au sein de la Division Information Veille Archivage (DIVA)</w:t>
      </w:r>
    </w:p>
    <w:p w14:paraId="260F6414" w14:textId="493C5C54" w:rsidR="00C61359" w:rsidRPr="0064401C" w:rsidRDefault="00C61359" w:rsidP="00EF1CF3">
      <w:pPr>
        <w:spacing w:line="276" w:lineRule="auto"/>
        <w:rPr>
          <w:rFonts w:ascii="Times New Roman" w:hAnsi="Times New Roman" w:cs="Times New Roman"/>
          <w:szCs w:val="22"/>
        </w:rPr>
      </w:pPr>
      <w:r w:rsidRPr="0064401C">
        <w:rPr>
          <w:rFonts w:ascii="Times New Roman" w:hAnsi="Times New Roman" w:cs="Times New Roman"/>
          <w:szCs w:val="22"/>
        </w:rPr>
        <w:t>Sylvie GAUTIER, historienne consultante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315151DC" w14:textId="77777777" w:rsidR="0064401C" w:rsidRPr="0064401C" w:rsidRDefault="0064401C" w:rsidP="00EF1CF3">
      <w:pPr>
        <w:spacing w:line="276" w:lineRule="auto"/>
        <w:rPr>
          <w:rFonts w:ascii="Times New Roman" w:hAnsi="Times New Roman" w:cs="Times New Roman"/>
          <w:szCs w:val="22"/>
        </w:rPr>
      </w:pPr>
      <w:r w:rsidRPr="0064401C">
        <w:rPr>
          <w:rFonts w:ascii="Times New Roman" w:hAnsi="Times New Roman" w:cs="Times New Roman"/>
          <w:szCs w:val="22"/>
        </w:rPr>
        <w:t>Audrey NICOLAS, assistante de la division DIVA</w:t>
      </w:r>
    </w:p>
    <w:p w14:paraId="0779FDCE" w14:textId="25A11FE5" w:rsidR="00D533F2" w:rsidRPr="00403035" w:rsidRDefault="00D533F2" w:rsidP="00D533F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14:paraId="226BC646" w14:textId="1B0C3B4A" w:rsidR="00D533F2" w:rsidRDefault="00D533F2" w:rsidP="00D533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44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Comité scientifique</w:t>
      </w:r>
      <w:r w:rsidRPr="006440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F4B53A9" w14:textId="47D542B3" w:rsidR="0064401C" w:rsidRDefault="0064401C" w:rsidP="00D533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73EB3191" w14:textId="123411DF" w:rsidR="0064401C" w:rsidRPr="0064401C" w:rsidRDefault="0064401C" w:rsidP="00036342">
      <w:pPr>
        <w:spacing w:line="276" w:lineRule="auto"/>
        <w:rPr>
          <w:rFonts w:ascii="Times New Roman" w:hAnsi="Times New Roman" w:cs="Times New Roman"/>
          <w:szCs w:val="22"/>
        </w:rPr>
      </w:pPr>
      <w:r w:rsidRPr="0064401C">
        <w:rPr>
          <w:rFonts w:ascii="Times New Roman" w:hAnsi="Times New Roman" w:cs="Times New Roman"/>
          <w:szCs w:val="22"/>
        </w:rPr>
        <w:t>Alain BELT</w:t>
      </w:r>
      <w:r w:rsidR="00CA4B2E">
        <w:rPr>
          <w:rFonts w:ascii="Times New Roman" w:hAnsi="Times New Roman" w:cs="Times New Roman"/>
          <w:szCs w:val="22"/>
        </w:rPr>
        <w:t>R</w:t>
      </w:r>
      <w:r w:rsidRPr="0064401C">
        <w:rPr>
          <w:rFonts w:ascii="Times New Roman" w:hAnsi="Times New Roman" w:cs="Times New Roman"/>
          <w:szCs w:val="22"/>
        </w:rPr>
        <w:t>AN, directeur de recherche émérite au CNRS</w:t>
      </w:r>
    </w:p>
    <w:p w14:paraId="20D97154" w14:textId="09BC7407" w:rsidR="0064401C" w:rsidRPr="0064401C" w:rsidRDefault="0064401C" w:rsidP="0F5C74BC">
      <w:pPr>
        <w:spacing w:line="276" w:lineRule="auto"/>
        <w:rPr>
          <w:rFonts w:ascii="Times New Roman" w:hAnsi="Times New Roman" w:cs="Times New Roman"/>
        </w:rPr>
      </w:pPr>
      <w:r w:rsidRPr="0F5C74BC">
        <w:rPr>
          <w:rFonts w:ascii="Times New Roman" w:hAnsi="Times New Roman" w:cs="Times New Roman"/>
        </w:rPr>
        <w:t>Yves BOUVIER, professeur d’histoire à l’Université de Rouen Normandie</w:t>
      </w:r>
      <w:r w:rsidR="2C55AF2D" w:rsidRPr="0F5C74BC">
        <w:rPr>
          <w:rFonts w:ascii="Times New Roman" w:hAnsi="Times New Roman" w:cs="Times New Roman"/>
        </w:rPr>
        <w:t xml:space="preserve"> / </w:t>
      </w:r>
      <w:proofErr w:type="spellStart"/>
      <w:r w:rsidR="2C55AF2D" w:rsidRPr="0F5C74BC">
        <w:rPr>
          <w:rFonts w:ascii="Times New Roman" w:hAnsi="Times New Roman" w:cs="Times New Roman"/>
        </w:rPr>
        <w:t>GRHis</w:t>
      </w:r>
      <w:proofErr w:type="spellEnd"/>
    </w:p>
    <w:p w14:paraId="570B982F" w14:textId="77777777" w:rsidR="0064401C" w:rsidRPr="0064401C" w:rsidRDefault="0064401C" w:rsidP="00036342">
      <w:pPr>
        <w:spacing w:line="276" w:lineRule="auto"/>
        <w:rPr>
          <w:rFonts w:ascii="Times New Roman" w:hAnsi="Times New Roman" w:cs="Times New Roman"/>
          <w:szCs w:val="22"/>
        </w:rPr>
      </w:pPr>
      <w:r w:rsidRPr="0064401C">
        <w:rPr>
          <w:rFonts w:ascii="Times New Roman" w:hAnsi="Times New Roman" w:cs="Times New Roman"/>
          <w:szCs w:val="22"/>
        </w:rPr>
        <w:t>Benoit DOESSANT, manager Gouvernance et Administration TotalEnergies</w:t>
      </w:r>
    </w:p>
    <w:p w14:paraId="45E2E993" w14:textId="76F4D66B" w:rsidR="0064401C" w:rsidRPr="0064401C" w:rsidRDefault="0064401C" w:rsidP="00036342">
      <w:pPr>
        <w:spacing w:line="276" w:lineRule="auto"/>
        <w:rPr>
          <w:rFonts w:ascii="Times New Roman" w:hAnsi="Times New Roman" w:cs="Times New Roman"/>
          <w:szCs w:val="22"/>
        </w:rPr>
      </w:pPr>
      <w:r w:rsidRPr="0064401C">
        <w:rPr>
          <w:rFonts w:ascii="Times New Roman" w:hAnsi="Times New Roman" w:cs="Times New Roman"/>
          <w:szCs w:val="22"/>
        </w:rPr>
        <w:t>Sylvie GAUTIER, historienne consultante, chercheuse associée Centre Lucien Febvre, enseignante à l’Université Gustave Eiffel</w:t>
      </w:r>
    </w:p>
    <w:p w14:paraId="72DA31BE" w14:textId="29D2AC40" w:rsidR="0064401C" w:rsidRPr="0064401C" w:rsidRDefault="0064401C" w:rsidP="00036342">
      <w:pPr>
        <w:spacing w:line="276" w:lineRule="auto"/>
        <w:rPr>
          <w:rFonts w:ascii="Times New Roman" w:hAnsi="Times New Roman" w:cs="Times New Roman"/>
          <w:szCs w:val="22"/>
        </w:rPr>
      </w:pPr>
      <w:r w:rsidRPr="0064401C">
        <w:rPr>
          <w:rFonts w:ascii="Times New Roman" w:hAnsi="Times New Roman" w:cs="Times New Roman"/>
          <w:szCs w:val="22"/>
        </w:rPr>
        <w:t>Léonard LABORIE, historien chargé de recherche au CNRS à l’UMR SIRI</w:t>
      </w:r>
      <w:r w:rsidR="00CA4B2E">
        <w:rPr>
          <w:rFonts w:ascii="Times New Roman" w:hAnsi="Times New Roman" w:cs="Times New Roman"/>
          <w:szCs w:val="22"/>
        </w:rPr>
        <w:t>CE</w:t>
      </w:r>
      <w:r w:rsidRPr="0064401C">
        <w:rPr>
          <w:rFonts w:ascii="Times New Roman" w:hAnsi="Times New Roman" w:cs="Times New Roman"/>
          <w:szCs w:val="22"/>
        </w:rPr>
        <w:t>, secrétaire scientifique du Comité de l’histoire de l’énergie</w:t>
      </w:r>
    </w:p>
    <w:p w14:paraId="37B32ABA" w14:textId="5A76A42B" w:rsidR="0064401C" w:rsidRPr="0064401C" w:rsidRDefault="57ED618E" w:rsidP="6AFA7E40">
      <w:pPr>
        <w:spacing w:line="276" w:lineRule="auto"/>
        <w:rPr>
          <w:rFonts w:ascii="Times New Roman" w:hAnsi="Times New Roman" w:cs="Times New Roman"/>
        </w:rPr>
      </w:pPr>
      <w:r w:rsidRPr="6AFA7E40">
        <w:rPr>
          <w:rFonts w:ascii="Times New Roman" w:hAnsi="Times New Roman" w:cs="Times New Roman"/>
        </w:rPr>
        <w:t>Radouan MOUNECIF, historien UMR S</w:t>
      </w:r>
      <w:r w:rsidR="3379D223" w:rsidRPr="6AFA7E40">
        <w:rPr>
          <w:rFonts w:ascii="Times New Roman" w:hAnsi="Times New Roman" w:cs="Times New Roman"/>
        </w:rPr>
        <w:t>IRICE</w:t>
      </w:r>
      <w:r w:rsidR="2C0F6ABF" w:rsidRPr="6AFA7E40">
        <w:rPr>
          <w:rFonts w:ascii="Times New Roman" w:hAnsi="Times New Roman" w:cs="Times New Roman"/>
        </w:rPr>
        <w:t>, responsable du pôle Archives &amp; Histoire à Perles d’Histoire</w:t>
      </w:r>
    </w:p>
    <w:p w14:paraId="33C12F05" w14:textId="675FE517" w:rsidR="0064401C" w:rsidRDefault="0064401C" w:rsidP="00036342">
      <w:pPr>
        <w:spacing w:line="276" w:lineRule="auto"/>
        <w:rPr>
          <w:rFonts w:ascii="Times New Roman" w:hAnsi="Times New Roman" w:cs="Times New Roman"/>
          <w:szCs w:val="22"/>
        </w:rPr>
      </w:pPr>
      <w:r w:rsidRPr="0064401C">
        <w:rPr>
          <w:rFonts w:ascii="Times New Roman" w:hAnsi="Times New Roman" w:cs="Times New Roman"/>
          <w:szCs w:val="22"/>
        </w:rPr>
        <w:t xml:space="preserve">Marta MUSSO, chercheuse à l’université </w:t>
      </w:r>
      <w:r w:rsidR="00CA4B2E">
        <w:rPr>
          <w:rFonts w:ascii="Times New Roman" w:hAnsi="Times New Roman" w:cs="Times New Roman"/>
          <w:szCs w:val="22"/>
        </w:rPr>
        <w:t xml:space="preserve">La </w:t>
      </w:r>
      <w:proofErr w:type="spellStart"/>
      <w:r w:rsidRPr="0064401C">
        <w:rPr>
          <w:rFonts w:ascii="Times New Roman" w:hAnsi="Times New Roman" w:cs="Times New Roman"/>
          <w:szCs w:val="22"/>
        </w:rPr>
        <w:t>Sapienza</w:t>
      </w:r>
      <w:proofErr w:type="spellEnd"/>
      <w:r w:rsidRPr="0064401C">
        <w:rPr>
          <w:rFonts w:ascii="Times New Roman" w:hAnsi="Times New Roman" w:cs="Times New Roman"/>
          <w:szCs w:val="22"/>
        </w:rPr>
        <w:t xml:space="preserve"> à Rome, directrice de recherche et productrice pour Archives Portal Europe</w:t>
      </w:r>
    </w:p>
    <w:sectPr w:rsidR="0064401C" w:rsidSect="001A3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EDBD" w14:textId="77777777" w:rsidR="00820BF3" w:rsidRDefault="00820BF3" w:rsidP="00820BF3">
      <w:r>
        <w:separator/>
      </w:r>
    </w:p>
  </w:endnote>
  <w:endnote w:type="continuationSeparator" w:id="0">
    <w:p w14:paraId="308A79E7" w14:textId="77777777" w:rsidR="00820BF3" w:rsidRDefault="00820BF3" w:rsidP="0082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3FB8" w14:textId="77777777" w:rsidR="00820BF3" w:rsidRDefault="00820B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13594"/>
      <w:docPartObj>
        <w:docPartGallery w:val="Page Numbers (Bottom of Page)"/>
        <w:docPartUnique/>
      </w:docPartObj>
    </w:sdtPr>
    <w:sdtEndPr/>
    <w:sdtContent>
      <w:p w14:paraId="21E056A2" w14:textId="5BCC2C11" w:rsidR="00820BF3" w:rsidRDefault="00820BF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0A12A" w14:textId="77777777" w:rsidR="00820BF3" w:rsidRDefault="00820B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D48" w14:textId="77777777" w:rsidR="00820BF3" w:rsidRDefault="00820B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9DEB" w14:textId="77777777" w:rsidR="00820BF3" w:rsidRDefault="00820BF3" w:rsidP="00820BF3">
      <w:r>
        <w:separator/>
      </w:r>
    </w:p>
  </w:footnote>
  <w:footnote w:type="continuationSeparator" w:id="0">
    <w:p w14:paraId="50AA5B99" w14:textId="77777777" w:rsidR="00820BF3" w:rsidRDefault="00820BF3" w:rsidP="0082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A9FB" w14:textId="77777777" w:rsidR="00820BF3" w:rsidRDefault="00820B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1BFB" w14:textId="77777777" w:rsidR="00820BF3" w:rsidRDefault="00820B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EB45" w14:textId="77777777" w:rsidR="00820BF3" w:rsidRDefault="00820BF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A0"/>
    <w:rsid w:val="00033800"/>
    <w:rsid w:val="00036342"/>
    <w:rsid w:val="00054C34"/>
    <w:rsid w:val="000865A0"/>
    <w:rsid w:val="000C2126"/>
    <w:rsid w:val="000C7EC7"/>
    <w:rsid w:val="000D1426"/>
    <w:rsid w:val="000E75AB"/>
    <w:rsid w:val="00100FBA"/>
    <w:rsid w:val="00107D29"/>
    <w:rsid w:val="00130C9E"/>
    <w:rsid w:val="00133A0F"/>
    <w:rsid w:val="0014051C"/>
    <w:rsid w:val="00153887"/>
    <w:rsid w:val="00161FCE"/>
    <w:rsid w:val="00164265"/>
    <w:rsid w:val="001816C6"/>
    <w:rsid w:val="001A35CD"/>
    <w:rsid w:val="00214453"/>
    <w:rsid w:val="00236945"/>
    <w:rsid w:val="00241C43"/>
    <w:rsid w:val="00244D0E"/>
    <w:rsid w:val="0026079B"/>
    <w:rsid w:val="002660A3"/>
    <w:rsid w:val="002D1DA0"/>
    <w:rsid w:val="002D6428"/>
    <w:rsid w:val="002E05AA"/>
    <w:rsid w:val="002E6C60"/>
    <w:rsid w:val="003059D0"/>
    <w:rsid w:val="003066DC"/>
    <w:rsid w:val="003100BD"/>
    <w:rsid w:val="00311964"/>
    <w:rsid w:val="00322485"/>
    <w:rsid w:val="0035120F"/>
    <w:rsid w:val="003538FE"/>
    <w:rsid w:val="00372CEA"/>
    <w:rsid w:val="00390178"/>
    <w:rsid w:val="00390588"/>
    <w:rsid w:val="0039117B"/>
    <w:rsid w:val="003B15A7"/>
    <w:rsid w:val="003B6266"/>
    <w:rsid w:val="003D467C"/>
    <w:rsid w:val="003F17D0"/>
    <w:rsid w:val="003F7E6F"/>
    <w:rsid w:val="00403035"/>
    <w:rsid w:val="00414361"/>
    <w:rsid w:val="0045777D"/>
    <w:rsid w:val="00476670"/>
    <w:rsid w:val="00496929"/>
    <w:rsid w:val="004A12A5"/>
    <w:rsid w:val="004C371E"/>
    <w:rsid w:val="004C7A69"/>
    <w:rsid w:val="00502C4D"/>
    <w:rsid w:val="00513C2C"/>
    <w:rsid w:val="005221AC"/>
    <w:rsid w:val="00532DC8"/>
    <w:rsid w:val="00550EEC"/>
    <w:rsid w:val="00593157"/>
    <w:rsid w:val="005B4353"/>
    <w:rsid w:val="00636491"/>
    <w:rsid w:val="006426D7"/>
    <w:rsid w:val="0064401C"/>
    <w:rsid w:val="006643EC"/>
    <w:rsid w:val="00665D53"/>
    <w:rsid w:val="006A4B4A"/>
    <w:rsid w:val="006F3A05"/>
    <w:rsid w:val="00718DBE"/>
    <w:rsid w:val="007A4989"/>
    <w:rsid w:val="007C4C24"/>
    <w:rsid w:val="00802E9F"/>
    <w:rsid w:val="00820BF3"/>
    <w:rsid w:val="008335B2"/>
    <w:rsid w:val="00850250"/>
    <w:rsid w:val="00860A5B"/>
    <w:rsid w:val="0088103D"/>
    <w:rsid w:val="008B397B"/>
    <w:rsid w:val="008B3C62"/>
    <w:rsid w:val="008D1CD6"/>
    <w:rsid w:val="008D2656"/>
    <w:rsid w:val="008D3241"/>
    <w:rsid w:val="0090520E"/>
    <w:rsid w:val="0094336E"/>
    <w:rsid w:val="00957472"/>
    <w:rsid w:val="00980D7F"/>
    <w:rsid w:val="009936CF"/>
    <w:rsid w:val="00996834"/>
    <w:rsid w:val="00997390"/>
    <w:rsid w:val="009A26F0"/>
    <w:rsid w:val="009B7A68"/>
    <w:rsid w:val="009F791D"/>
    <w:rsid w:val="00A328B0"/>
    <w:rsid w:val="00A7692A"/>
    <w:rsid w:val="00A86FF7"/>
    <w:rsid w:val="00A904B1"/>
    <w:rsid w:val="00AA1CCD"/>
    <w:rsid w:val="00AA476A"/>
    <w:rsid w:val="00AD28CC"/>
    <w:rsid w:val="00B17596"/>
    <w:rsid w:val="00B26C1B"/>
    <w:rsid w:val="00B356D4"/>
    <w:rsid w:val="00B40AFC"/>
    <w:rsid w:val="00B502A9"/>
    <w:rsid w:val="00B65C33"/>
    <w:rsid w:val="00B82510"/>
    <w:rsid w:val="00BA068B"/>
    <w:rsid w:val="00BA1631"/>
    <w:rsid w:val="00BD390C"/>
    <w:rsid w:val="00BE17D0"/>
    <w:rsid w:val="00BE68D3"/>
    <w:rsid w:val="00C223C6"/>
    <w:rsid w:val="00C50666"/>
    <w:rsid w:val="00C61359"/>
    <w:rsid w:val="00C83E33"/>
    <w:rsid w:val="00C90469"/>
    <w:rsid w:val="00CA4B2E"/>
    <w:rsid w:val="00CD75D1"/>
    <w:rsid w:val="00CE5806"/>
    <w:rsid w:val="00CF406E"/>
    <w:rsid w:val="00CF44CF"/>
    <w:rsid w:val="00D32EFA"/>
    <w:rsid w:val="00D533F2"/>
    <w:rsid w:val="00D57C21"/>
    <w:rsid w:val="00D61855"/>
    <w:rsid w:val="00D83D5D"/>
    <w:rsid w:val="00DE6FE4"/>
    <w:rsid w:val="00E00573"/>
    <w:rsid w:val="00EA0E1A"/>
    <w:rsid w:val="00EC78FF"/>
    <w:rsid w:val="00EE2141"/>
    <w:rsid w:val="00EF1CF3"/>
    <w:rsid w:val="00EF5E20"/>
    <w:rsid w:val="00F20754"/>
    <w:rsid w:val="00F349F9"/>
    <w:rsid w:val="00F54B64"/>
    <w:rsid w:val="00F616C6"/>
    <w:rsid w:val="00F74F25"/>
    <w:rsid w:val="00F86632"/>
    <w:rsid w:val="00FD2FA7"/>
    <w:rsid w:val="00FD3BF7"/>
    <w:rsid w:val="00FE07F5"/>
    <w:rsid w:val="00FE5B0F"/>
    <w:rsid w:val="00FF3A2F"/>
    <w:rsid w:val="01506017"/>
    <w:rsid w:val="015B65F8"/>
    <w:rsid w:val="0166F057"/>
    <w:rsid w:val="0242BE78"/>
    <w:rsid w:val="0289D54E"/>
    <w:rsid w:val="02B415C1"/>
    <w:rsid w:val="02E74D32"/>
    <w:rsid w:val="03BE1658"/>
    <w:rsid w:val="045EC7AE"/>
    <w:rsid w:val="047F9F65"/>
    <w:rsid w:val="05345114"/>
    <w:rsid w:val="05C9DB55"/>
    <w:rsid w:val="063491F1"/>
    <w:rsid w:val="069316D1"/>
    <w:rsid w:val="06987856"/>
    <w:rsid w:val="06D02175"/>
    <w:rsid w:val="06EB1AD2"/>
    <w:rsid w:val="06EEDD4C"/>
    <w:rsid w:val="07388A1E"/>
    <w:rsid w:val="07D2738A"/>
    <w:rsid w:val="09111D24"/>
    <w:rsid w:val="09442597"/>
    <w:rsid w:val="09C786BE"/>
    <w:rsid w:val="09CD2106"/>
    <w:rsid w:val="0A2DC165"/>
    <w:rsid w:val="0A57A577"/>
    <w:rsid w:val="0AB55F21"/>
    <w:rsid w:val="0BE8646B"/>
    <w:rsid w:val="0C512F82"/>
    <w:rsid w:val="0C63113E"/>
    <w:rsid w:val="0CFF0EBA"/>
    <w:rsid w:val="0D70EBC6"/>
    <w:rsid w:val="0EC496DA"/>
    <w:rsid w:val="0F28CCD2"/>
    <w:rsid w:val="0F5C74BC"/>
    <w:rsid w:val="0F733F39"/>
    <w:rsid w:val="0F88D044"/>
    <w:rsid w:val="0FDFA41A"/>
    <w:rsid w:val="106901F5"/>
    <w:rsid w:val="10BD455C"/>
    <w:rsid w:val="1115D706"/>
    <w:rsid w:val="1124A0A5"/>
    <w:rsid w:val="1148783E"/>
    <w:rsid w:val="1287CACC"/>
    <w:rsid w:val="130850CD"/>
    <w:rsid w:val="1348F2B5"/>
    <w:rsid w:val="137A3A53"/>
    <w:rsid w:val="14C252C2"/>
    <w:rsid w:val="1503E8EC"/>
    <w:rsid w:val="15293C5C"/>
    <w:rsid w:val="15ADE773"/>
    <w:rsid w:val="17616E55"/>
    <w:rsid w:val="17F37705"/>
    <w:rsid w:val="1844E43E"/>
    <w:rsid w:val="18A2C6F1"/>
    <w:rsid w:val="192FB28A"/>
    <w:rsid w:val="19428B90"/>
    <w:rsid w:val="19CEF5C0"/>
    <w:rsid w:val="1A58028B"/>
    <w:rsid w:val="1A9E0244"/>
    <w:rsid w:val="1AA40110"/>
    <w:rsid w:val="1B3E0844"/>
    <w:rsid w:val="1BB97A05"/>
    <w:rsid w:val="1D05F060"/>
    <w:rsid w:val="1D4C12C7"/>
    <w:rsid w:val="1DE5F968"/>
    <w:rsid w:val="1E925426"/>
    <w:rsid w:val="1EF6F122"/>
    <w:rsid w:val="1FCDDDEA"/>
    <w:rsid w:val="1FD927E7"/>
    <w:rsid w:val="202498CC"/>
    <w:rsid w:val="21060BD4"/>
    <w:rsid w:val="21B56110"/>
    <w:rsid w:val="21E88187"/>
    <w:rsid w:val="2329299B"/>
    <w:rsid w:val="23F65926"/>
    <w:rsid w:val="246B8918"/>
    <w:rsid w:val="2477BEF8"/>
    <w:rsid w:val="25196C12"/>
    <w:rsid w:val="25BCE251"/>
    <w:rsid w:val="25E551B4"/>
    <w:rsid w:val="26DA0689"/>
    <w:rsid w:val="26DC1577"/>
    <w:rsid w:val="27C9A791"/>
    <w:rsid w:val="28EF3170"/>
    <w:rsid w:val="2928108C"/>
    <w:rsid w:val="29E5C64D"/>
    <w:rsid w:val="2A104BC7"/>
    <w:rsid w:val="2A3BF941"/>
    <w:rsid w:val="2A7744C0"/>
    <w:rsid w:val="2ACB2A90"/>
    <w:rsid w:val="2ADEB484"/>
    <w:rsid w:val="2B96A79B"/>
    <w:rsid w:val="2BAC1C28"/>
    <w:rsid w:val="2C0F6ABF"/>
    <w:rsid w:val="2C45F59C"/>
    <w:rsid w:val="2C55AF2D"/>
    <w:rsid w:val="2CD58AFA"/>
    <w:rsid w:val="2D00273A"/>
    <w:rsid w:val="2E0CD59A"/>
    <w:rsid w:val="2F3232F3"/>
    <w:rsid w:val="30282CE0"/>
    <w:rsid w:val="30710DD4"/>
    <w:rsid w:val="30E68644"/>
    <w:rsid w:val="32EAA7BD"/>
    <w:rsid w:val="3379D223"/>
    <w:rsid w:val="33C75330"/>
    <w:rsid w:val="344E825F"/>
    <w:rsid w:val="34805CDD"/>
    <w:rsid w:val="3521CC58"/>
    <w:rsid w:val="36399F25"/>
    <w:rsid w:val="3706E178"/>
    <w:rsid w:val="37A5E43D"/>
    <w:rsid w:val="37A6F436"/>
    <w:rsid w:val="391CB61E"/>
    <w:rsid w:val="395A4056"/>
    <w:rsid w:val="3A3E8CBC"/>
    <w:rsid w:val="3A576F1A"/>
    <w:rsid w:val="3ADC9F76"/>
    <w:rsid w:val="3AE569CC"/>
    <w:rsid w:val="3BB99642"/>
    <w:rsid w:val="3BDA529B"/>
    <w:rsid w:val="3C4D01B6"/>
    <w:rsid w:val="3CE2FDD6"/>
    <w:rsid w:val="3D44E7F6"/>
    <w:rsid w:val="3D5761B6"/>
    <w:rsid w:val="3DFFAC5D"/>
    <w:rsid w:val="3E37FF8B"/>
    <w:rsid w:val="3EF622C3"/>
    <w:rsid w:val="3FFF5E39"/>
    <w:rsid w:val="40406BBA"/>
    <w:rsid w:val="41049794"/>
    <w:rsid w:val="4131E535"/>
    <w:rsid w:val="4209B8F0"/>
    <w:rsid w:val="420A5BDA"/>
    <w:rsid w:val="428727EA"/>
    <w:rsid w:val="4296DD65"/>
    <w:rsid w:val="42A067F5"/>
    <w:rsid w:val="42D97915"/>
    <w:rsid w:val="430B8FC0"/>
    <w:rsid w:val="43D6B702"/>
    <w:rsid w:val="43E15D87"/>
    <w:rsid w:val="43E56480"/>
    <w:rsid w:val="4450414D"/>
    <w:rsid w:val="4463CF4F"/>
    <w:rsid w:val="44C1A7B7"/>
    <w:rsid w:val="4506B6CA"/>
    <w:rsid w:val="450A52DA"/>
    <w:rsid w:val="45161269"/>
    <w:rsid w:val="45219448"/>
    <w:rsid w:val="456A8E91"/>
    <w:rsid w:val="458134E1"/>
    <w:rsid w:val="4631EBF3"/>
    <w:rsid w:val="4643BCCE"/>
    <w:rsid w:val="48863D7D"/>
    <w:rsid w:val="48AF4B5F"/>
    <w:rsid w:val="48CFE767"/>
    <w:rsid w:val="49377A95"/>
    <w:rsid w:val="499CBED7"/>
    <w:rsid w:val="49B78416"/>
    <w:rsid w:val="4A4DDEC8"/>
    <w:rsid w:val="4A523980"/>
    <w:rsid w:val="4AE61BA4"/>
    <w:rsid w:val="4B7CAF06"/>
    <w:rsid w:val="4BBB1812"/>
    <w:rsid w:val="4C6A8A5C"/>
    <w:rsid w:val="4CC8ED7C"/>
    <w:rsid w:val="4D0306FB"/>
    <w:rsid w:val="4D6CBC13"/>
    <w:rsid w:val="4D6EEAA3"/>
    <w:rsid w:val="4D775252"/>
    <w:rsid w:val="4D873FF4"/>
    <w:rsid w:val="4E18E7B4"/>
    <w:rsid w:val="4E4ECEB3"/>
    <w:rsid w:val="4E5A2988"/>
    <w:rsid w:val="4E5EF3D6"/>
    <w:rsid w:val="4EEBC750"/>
    <w:rsid w:val="4F12CF60"/>
    <w:rsid w:val="4F231055"/>
    <w:rsid w:val="4F7CD3FE"/>
    <w:rsid w:val="4FC3C35D"/>
    <w:rsid w:val="50B39A2C"/>
    <w:rsid w:val="511F5D9F"/>
    <w:rsid w:val="51358AAA"/>
    <w:rsid w:val="51CF7B8C"/>
    <w:rsid w:val="52018102"/>
    <w:rsid w:val="520A8A4F"/>
    <w:rsid w:val="524D2390"/>
    <w:rsid w:val="52AEEF43"/>
    <w:rsid w:val="53D39D4A"/>
    <w:rsid w:val="541A5808"/>
    <w:rsid w:val="546D2B6C"/>
    <w:rsid w:val="54B9BF24"/>
    <w:rsid w:val="54B9ECE4"/>
    <w:rsid w:val="54FB767E"/>
    <w:rsid w:val="5515C98E"/>
    <w:rsid w:val="555F3840"/>
    <w:rsid w:val="556CC4E5"/>
    <w:rsid w:val="55BFC2BD"/>
    <w:rsid w:val="57139E59"/>
    <w:rsid w:val="5761F7B8"/>
    <w:rsid w:val="57683FA0"/>
    <w:rsid w:val="57ED618E"/>
    <w:rsid w:val="5948E641"/>
    <w:rsid w:val="594CDC83"/>
    <w:rsid w:val="5975D8E2"/>
    <w:rsid w:val="59C05D6D"/>
    <w:rsid w:val="59F6DD49"/>
    <w:rsid w:val="5A1B22CE"/>
    <w:rsid w:val="5A4B3F1B"/>
    <w:rsid w:val="5AA9FA5D"/>
    <w:rsid w:val="5AD5F880"/>
    <w:rsid w:val="5B099E1B"/>
    <w:rsid w:val="5B5CD3C9"/>
    <w:rsid w:val="5B9467CB"/>
    <w:rsid w:val="5CCA8E75"/>
    <w:rsid w:val="5CFAB4B7"/>
    <w:rsid w:val="5D06C92C"/>
    <w:rsid w:val="5D38089B"/>
    <w:rsid w:val="5D7BA074"/>
    <w:rsid w:val="5DA9AE02"/>
    <w:rsid w:val="5E2F4CF5"/>
    <w:rsid w:val="5F7EB1C5"/>
    <w:rsid w:val="5FA82465"/>
    <w:rsid w:val="603FC87E"/>
    <w:rsid w:val="607B6B29"/>
    <w:rsid w:val="60F0D557"/>
    <w:rsid w:val="60F88FF2"/>
    <w:rsid w:val="6185D637"/>
    <w:rsid w:val="61BF5524"/>
    <w:rsid w:val="621EB3B4"/>
    <w:rsid w:val="624D4AC6"/>
    <w:rsid w:val="62626B5F"/>
    <w:rsid w:val="6269AC62"/>
    <w:rsid w:val="62C44E3B"/>
    <w:rsid w:val="635B325D"/>
    <w:rsid w:val="63849732"/>
    <w:rsid w:val="6394BA5D"/>
    <w:rsid w:val="639A162B"/>
    <w:rsid w:val="63C0D74D"/>
    <w:rsid w:val="63DB4D3B"/>
    <w:rsid w:val="63FE3BC0"/>
    <w:rsid w:val="644443BE"/>
    <w:rsid w:val="64D31E4D"/>
    <w:rsid w:val="66433252"/>
    <w:rsid w:val="6658485E"/>
    <w:rsid w:val="666EEEAE"/>
    <w:rsid w:val="66EBA205"/>
    <w:rsid w:val="66EBBBB4"/>
    <w:rsid w:val="66F0ACB6"/>
    <w:rsid w:val="67389AD3"/>
    <w:rsid w:val="67C2DD7E"/>
    <w:rsid w:val="6812BDB1"/>
    <w:rsid w:val="681848C3"/>
    <w:rsid w:val="68A1208B"/>
    <w:rsid w:val="69966A4D"/>
    <w:rsid w:val="6A1FA577"/>
    <w:rsid w:val="6A6BC5C1"/>
    <w:rsid w:val="6A940225"/>
    <w:rsid w:val="6AE7BF3C"/>
    <w:rsid w:val="6AFA7E40"/>
    <w:rsid w:val="6B0818EF"/>
    <w:rsid w:val="6B2DD8A6"/>
    <w:rsid w:val="6B34F962"/>
    <w:rsid w:val="6B3BFD7B"/>
    <w:rsid w:val="6B6CC32F"/>
    <w:rsid w:val="6BA532A9"/>
    <w:rsid w:val="6C518152"/>
    <w:rsid w:val="6C7A7077"/>
    <w:rsid w:val="6CC7B3A0"/>
    <w:rsid w:val="6DE65C85"/>
    <w:rsid w:val="6E4CB2BD"/>
    <w:rsid w:val="6E533785"/>
    <w:rsid w:val="6E75BB67"/>
    <w:rsid w:val="6E9C926C"/>
    <w:rsid w:val="6EAEACE8"/>
    <w:rsid w:val="6ED95751"/>
    <w:rsid w:val="6F07B6EF"/>
    <w:rsid w:val="6F562146"/>
    <w:rsid w:val="6FA17CAC"/>
    <w:rsid w:val="70AB1EBD"/>
    <w:rsid w:val="7126DBAA"/>
    <w:rsid w:val="715F4778"/>
    <w:rsid w:val="7184FF07"/>
    <w:rsid w:val="71CDB161"/>
    <w:rsid w:val="72214288"/>
    <w:rsid w:val="725323BA"/>
    <w:rsid w:val="7257AC17"/>
    <w:rsid w:val="725B38E7"/>
    <w:rsid w:val="728364CA"/>
    <w:rsid w:val="72A6BB99"/>
    <w:rsid w:val="74932523"/>
    <w:rsid w:val="74F76E2E"/>
    <w:rsid w:val="753E0473"/>
    <w:rsid w:val="759F784C"/>
    <w:rsid w:val="75CCDFE7"/>
    <w:rsid w:val="763F5620"/>
    <w:rsid w:val="7662D891"/>
    <w:rsid w:val="7752D83E"/>
    <w:rsid w:val="7799F5D0"/>
    <w:rsid w:val="77A40278"/>
    <w:rsid w:val="780E1A9F"/>
    <w:rsid w:val="7836C930"/>
    <w:rsid w:val="7870122E"/>
    <w:rsid w:val="78B1520E"/>
    <w:rsid w:val="798C33BE"/>
    <w:rsid w:val="79F56B6F"/>
    <w:rsid w:val="79FD53E6"/>
    <w:rsid w:val="7A4F7988"/>
    <w:rsid w:val="7A601CDE"/>
    <w:rsid w:val="7A8728AD"/>
    <w:rsid w:val="7AF4D86F"/>
    <w:rsid w:val="7B2205F7"/>
    <w:rsid w:val="7B903339"/>
    <w:rsid w:val="7BE8F2D0"/>
    <w:rsid w:val="7C412D4D"/>
    <w:rsid w:val="7D6BCC84"/>
    <w:rsid w:val="7D74CE20"/>
    <w:rsid w:val="7D76A755"/>
    <w:rsid w:val="7DDE68D0"/>
    <w:rsid w:val="7E11AC93"/>
    <w:rsid w:val="7E30FFFF"/>
    <w:rsid w:val="7E629AF2"/>
    <w:rsid w:val="7EAFA3F5"/>
    <w:rsid w:val="7EDE0886"/>
    <w:rsid w:val="7F7EA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4434"/>
  <w15:chartTrackingRefBased/>
  <w15:docId w15:val="{8CBA3275-9F61-2441-8F2A-D293B7A9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A068B"/>
    <w:pPr>
      <w:keepNext/>
      <w:keepLines/>
      <w:spacing w:before="120" w:line="360" w:lineRule="auto"/>
      <w:jc w:val="both"/>
      <w:outlineLvl w:val="0"/>
    </w:pPr>
    <w:rPr>
      <w:rFonts w:ascii="Times New Roman" w:eastAsiaTheme="majorEastAsia" w:hAnsi="Times New Roman" w:cs="Times New Roman (Titres CS)"/>
      <w:bCs/>
      <w:color w:val="000000" w:themeColor="text1"/>
      <w:sz w:val="26"/>
      <w:szCs w:val="26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32EFA"/>
    <w:pPr>
      <w:keepNext/>
      <w:keepLines/>
      <w:spacing w:after="100" w:line="360" w:lineRule="auto"/>
      <w:jc w:val="both"/>
      <w:outlineLvl w:val="1"/>
    </w:pPr>
    <w:rPr>
      <w:rFonts w:ascii="Times New Roman" w:eastAsiaTheme="majorEastAsia" w:hAnsi="Times New Roman" w:cstheme="majorBidi"/>
      <w:b/>
      <w:color w:val="C00000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sid w:val="00D32EFA"/>
    <w:rPr>
      <w:rFonts w:ascii="Times New Roman" w:hAnsi="Times New Roman"/>
      <w:b/>
      <w:i w:val="0"/>
      <w:iCs/>
      <w:color w:val="C00000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BA068B"/>
    <w:rPr>
      <w:rFonts w:ascii="Times New Roman" w:eastAsiaTheme="majorEastAsia" w:hAnsi="Times New Roman" w:cs="Times New Roman (Titres CS)"/>
      <w:bCs/>
      <w:color w:val="000000" w:themeColor="text1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32EFA"/>
    <w:rPr>
      <w:rFonts w:ascii="Times New Roman" w:eastAsiaTheme="majorEastAsia" w:hAnsi="Times New Roman" w:cstheme="majorBidi"/>
      <w:b/>
      <w:color w:val="C00000"/>
      <w:szCs w:val="26"/>
      <w:lang w:eastAsia="fr-FR"/>
    </w:rPr>
  </w:style>
  <w:style w:type="character" w:customStyle="1" w:styleId="gmail-apple-converted-space">
    <w:name w:val="gmail-apple-converted-space"/>
    <w:basedOn w:val="Policepardfaut"/>
    <w:rsid w:val="00D533F2"/>
  </w:style>
  <w:style w:type="character" w:customStyle="1" w:styleId="object">
    <w:name w:val="object"/>
    <w:basedOn w:val="Policepardfaut"/>
    <w:rsid w:val="00D533F2"/>
  </w:style>
  <w:style w:type="character" w:customStyle="1" w:styleId="apple-converted-space">
    <w:name w:val="apple-converted-space"/>
    <w:basedOn w:val="Policepardfaut"/>
    <w:rsid w:val="00D533F2"/>
  </w:style>
  <w:style w:type="character" w:styleId="Lienhypertexte">
    <w:name w:val="Hyperlink"/>
    <w:basedOn w:val="Policepardfaut"/>
    <w:uiPriority w:val="99"/>
    <w:semiHidden/>
    <w:unhideWhenUsed/>
    <w:rsid w:val="00D533F2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D53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33800"/>
    <w:rPr>
      <w:b/>
      <w:bCs/>
    </w:rPr>
  </w:style>
  <w:style w:type="character" w:customStyle="1" w:styleId="ui-provider">
    <w:name w:val="ui-provider"/>
    <w:basedOn w:val="Policepardfaut"/>
    <w:rsid w:val="003D467C"/>
  </w:style>
  <w:style w:type="character" w:styleId="Lienhypertextesuivivisit">
    <w:name w:val="FollowedHyperlink"/>
    <w:basedOn w:val="Policepardfaut"/>
    <w:uiPriority w:val="99"/>
    <w:semiHidden/>
    <w:unhideWhenUsed/>
    <w:rsid w:val="003D467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E6FE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20BF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20BF3"/>
  </w:style>
  <w:style w:type="paragraph" w:styleId="Pieddepage">
    <w:name w:val="footer"/>
    <w:basedOn w:val="Normal"/>
    <w:link w:val="PieddepageCar"/>
    <w:uiPriority w:val="99"/>
    <w:unhideWhenUsed/>
    <w:rsid w:val="00820BF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BF3"/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Accentuation">
    <w:name w:val="Emphasis"/>
    <w:basedOn w:val="Policepardfaut"/>
    <w:uiPriority w:val="20"/>
    <w:qFormat/>
    <w:rsid w:val="00EF1C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647E2D35B154C90727F3777AA0DD0" ma:contentTypeVersion="3" ma:contentTypeDescription="Crée un document." ma:contentTypeScope="" ma:versionID="1a020062f8a7fce188d0b0c06d8f0055">
  <xsd:schema xmlns:xsd="http://www.w3.org/2001/XMLSchema" xmlns:xs="http://www.w3.org/2001/XMLSchema" xmlns:p="http://schemas.microsoft.com/office/2006/metadata/properties" xmlns:ns2="321789a6-c38b-439d-b73e-25d9f3b1c85e" targetNamespace="http://schemas.microsoft.com/office/2006/metadata/properties" ma:root="true" ma:fieldsID="cdc4fcddfa3578a8ea2cb5093486ef8b" ns2:_="">
    <xsd:import namespace="321789a6-c38b-439d-b73e-25d9f3b1c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89a6-c38b-439d-b73e-25d9f3b1c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B8693-A2E6-437F-9C3D-34BCB4692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B0DD2-F32C-43CA-815F-7322820D4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87661-E888-449C-BDA7-B15B06ABE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2482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gautier</dc:creator>
  <cp:keywords/>
  <dc:description/>
  <cp:lastModifiedBy>Sylvie GAUTIER</cp:lastModifiedBy>
  <cp:revision>3</cp:revision>
  <dcterms:created xsi:type="dcterms:W3CDTF">2023-11-06T10:08:00Z</dcterms:created>
  <dcterms:modified xsi:type="dcterms:W3CDTF">2023-11-06T11:21:00Z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2023-10-01T07:54:25Z</vt:lpwstr>
  </property>
  <property fmtid="{D5CDD505-2E9C-101B-9397-08002B2CF9AE}" pid="4" name="MSIP_Label_2b30ed1b-e95f-40b5-af89-828263f287a7_Method">
    <vt:lpwstr>Privileged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6e471e8b-81d7-41ad-92f7-a1a92b01f470</vt:lpwstr>
  </property>
  <property fmtid="{D5CDD505-2E9C-101B-9397-08002B2CF9AE}" pid="8" name="MSIP_Label_2b30ed1b-e95f-40b5-af89-828263f287a7_ContentBits">
    <vt:lpwstr>0</vt:lpwstr>
  </property>
  <property fmtid="{D5CDD505-2E9C-101B-9397-08002B2CF9AE}" pid="9" name="ContentTypeId">
    <vt:lpwstr>0x01010081A647E2D35B154C90727F3777AA0DD0</vt:lpwstr>
  </property>
</Properties>
</file>